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黑体" w:hAnsi="黑体" w:eastAsia="黑体"/>
          <w:sz w:val="39"/>
          <w:szCs w:val="39"/>
          <w:shd w:val="clear" w:color="auto" w:fill="FFFFFF"/>
        </w:rPr>
      </w:pPr>
      <w:r>
        <w:rPr>
          <w:rFonts w:hint="eastAsia" w:ascii="黑体" w:hAnsi="黑体" w:eastAsia="黑体"/>
          <w:sz w:val="39"/>
          <w:szCs w:val="39"/>
          <w:shd w:val="clear" w:color="auto" w:fill="FFFFFF"/>
        </w:rPr>
        <w:t>中国工商银行上海市分行</w:t>
      </w:r>
      <w:r>
        <w:rPr>
          <w:rFonts w:ascii="黑体" w:hAnsi="黑体" w:eastAsia="黑体"/>
          <w:sz w:val="39"/>
          <w:szCs w:val="39"/>
          <w:shd w:val="clear" w:color="auto" w:fill="FFFFFF"/>
        </w:rPr>
        <w:t>20</w:t>
      </w:r>
      <w:r>
        <w:rPr>
          <w:rFonts w:hint="eastAsia" w:ascii="黑体" w:hAnsi="黑体" w:eastAsia="黑体"/>
          <w:sz w:val="39"/>
          <w:szCs w:val="39"/>
          <w:shd w:val="clear" w:color="auto" w:fill="FFFFFF"/>
        </w:rPr>
        <w:t>21</w:t>
      </w:r>
      <w:r>
        <w:rPr>
          <w:rFonts w:ascii="黑体" w:hAnsi="黑体" w:eastAsia="黑体"/>
          <w:sz w:val="39"/>
          <w:szCs w:val="39"/>
          <w:shd w:val="clear" w:color="auto" w:fill="FFFFFF"/>
        </w:rPr>
        <w:t>年</w:t>
      </w:r>
      <w:r>
        <w:rPr>
          <w:rFonts w:hint="eastAsia" w:ascii="黑体" w:hAnsi="黑体" w:eastAsia="黑体"/>
          <w:sz w:val="39"/>
          <w:szCs w:val="39"/>
          <w:shd w:val="clear" w:color="auto" w:fill="FFFFFF"/>
        </w:rPr>
        <w:t>星令营</w:t>
      </w:r>
    </w:p>
    <w:p>
      <w:pPr>
        <w:spacing w:line="590" w:lineRule="exact"/>
        <w:jc w:val="center"/>
        <w:rPr>
          <w:rFonts w:ascii="黑体" w:hAnsi="黑体" w:eastAsia="黑体"/>
          <w:szCs w:val="21"/>
          <w:shd w:val="clear" w:color="auto" w:fill="FFFFFF"/>
        </w:rPr>
      </w:pPr>
      <w:r>
        <w:rPr>
          <w:rFonts w:hint="eastAsia" w:ascii="黑体" w:hAnsi="黑体" w:eastAsia="黑体"/>
          <w:sz w:val="39"/>
          <w:szCs w:val="39"/>
          <w:shd w:val="clear" w:color="auto" w:fill="FFFFFF"/>
        </w:rPr>
        <w:t>暑期实习项目公告</w:t>
      </w:r>
    </w:p>
    <w:p>
      <w:pPr>
        <w:pStyle w:val="6"/>
        <w:shd w:val="clear" w:color="auto" w:fill="FFFFFF"/>
        <w:spacing w:after="0" w:line="590" w:lineRule="exact"/>
        <w:ind w:firstLine="640" w:firstLineChars="200"/>
        <w:jc w:val="both"/>
        <w:rPr>
          <w:rFonts w:ascii="仿宋_GB2312" w:eastAsia="仿宋_GB2312"/>
          <w:sz w:val="32"/>
          <w:szCs w:val="32"/>
        </w:rPr>
      </w:pPr>
      <w:r>
        <w:rPr>
          <w:rFonts w:hint="eastAsia" w:ascii="仿宋_GB2312" w:eastAsia="仿宋_GB2312"/>
          <w:sz w:val="32"/>
          <w:szCs w:val="32"/>
        </w:rPr>
        <w:t>中国工商银行上海市分行作为工商银行系统内优秀的旗舰行，以雄厚的资金实力、广泛的营业网点、便捷的结算网络、优质的客户服务，致力于支持和服务上海经济社会发展和重点项目建设，为客户提供全面的金融产品和服务，在上海金融行业保持市场领军者的地位。</w:t>
      </w:r>
    </w:p>
    <w:p>
      <w:pPr>
        <w:pStyle w:val="6"/>
        <w:shd w:val="clear" w:color="auto" w:fill="FFFFFF"/>
        <w:spacing w:after="0" w:line="590" w:lineRule="exact"/>
        <w:ind w:firstLine="640" w:firstLineChars="200"/>
        <w:jc w:val="both"/>
        <w:rPr>
          <w:rFonts w:ascii="仿宋_GB2312" w:eastAsia="仿宋_GB2312"/>
          <w:sz w:val="32"/>
          <w:szCs w:val="32"/>
        </w:rPr>
      </w:pPr>
      <w:r>
        <w:rPr>
          <w:rFonts w:hint="eastAsia" w:ascii="仿宋_GB2312" w:eastAsia="仿宋_GB2312"/>
          <w:sz w:val="32"/>
          <w:szCs w:val="32"/>
        </w:rPr>
        <w:t>中国工商银行上海市分行始终把自身发展融入国家和上海经济社会发展大局，巩固提升国有商业银行优势和作用担当。分行积极参与上海国际金融中心建设，稳步推进金融创新中心、跨境业务中心和金融市场交易中心建设，</w:t>
      </w:r>
      <w:r>
        <w:rPr>
          <w:rFonts w:hint="eastAsia" w:ascii="仿宋_GB2312" w:eastAsia="仿宋_GB2312"/>
          <w:bCs/>
          <w:sz w:val="32"/>
          <w:szCs w:val="32"/>
        </w:rPr>
        <w:t>打造工行差异化跨境服务优势；</w:t>
      </w:r>
      <w:r>
        <w:rPr>
          <w:rFonts w:hint="eastAsia" w:ascii="仿宋_GB2312" w:eastAsia="仿宋_GB2312"/>
          <w:sz w:val="32"/>
          <w:szCs w:val="32"/>
        </w:rPr>
        <w:t>发布“工行金融支持长三角生态绿色一体化发展示范区行动宣言”，助力长三角一体化发展战略目标；设立上海自贸试验区新片区分行，全力做好中国（上海）自由贸易试验区临港新片区金融支持；积极发挥属地行优势，做好中国国际进口博览会服务和招展营销工作，全面发挥工商银行引领示范作用。</w:t>
      </w:r>
    </w:p>
    <w:p>
      <w:pPr>
        <w:pStyle w:val="6"/>
        <w:shd w:val="clear" w:color="auto" w:fill="FFFFFF"/>
        <w:spacing w:after="0" w:line="590" w:lineRule="exact"/>
        <w:ind w:firstLine="640" w:firstLineChars="200"/>
        <w:jc w:val="both"/>
        <w:rPr>
          <w:rFonts w:ascii="仿宋_GB2312" w:eastAsia="仿宋_GB2312"/>
          <w:sz w:val="32"/>
          <w:szCs w:val="32"/>
        </w:rPr>
      </w:pPr>
      <w:r>
        <w:rPr>
          <w:rFonts w:hint="eastAsia" w:ascii="仿宋_GB2312" w:eastAsia="仿宋_GB2312"/>
          <w:bCs/>
          <w:sz w:val="32"/>
          <w:szCs w:val="32"/>
        </w:rPr>
        <w:t>中国工商银行上海市分行聚焦“人才兴行”战略，以完善的教育培训、全面的福利保障、广阔的发展舞台、个性化的培养体系，为青年员工施展才华提供了良好的职业发展平台。我们期待您的加入，共同助力上海国际金融中心建设，推动上海市分行高质量发展，在工商银行事业发展中成就更好的自己！</w:t>
      </w:r>
    </w:p>
    <w:p>
      <w:pPr>
        <w:pStyle w:val="6"/>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一、实习机构</w:t>
      </w:r>
    </w:p>
    <w:p>
      <w:pPr>
        <w:pStyle w:val="6"/>
        <w:shd w:val="clear" w:color="auto" w:fill="FFFFFF"/>
        <w:spacing w:after="0" w:line="590" w:lineRule="exact"/>
        <w:ind w:firstLine="640" w:firstLineChars="200"/>
        <w:rPr>
          <w:rFonts w:ascii="MicrosoftYaHei" w:hAnsi="MicrosoftYaHei" w:eastAsia="仿宋_GB2312" w:cs="Arial"/>
          <w:sz w:val="21"/>
          <w:szCs w:val="21"/>
        </w:rPr>
      </w:pPr>
      <w:r>
        <w:rPr>
          <w:rFonts w:hint="eastAsia" w:ascii="仿宋_GB2312" w:hAnsi="仿宋_GB2312" w:eastAsia="仿宋_GB2312" w:cs="仿宋_GB2312"/>
          <w:sz w:val="32"/>
          <w:szCs w:val="32"/>
        </w:rPr>
        <w:t>中国工商银行上海市分行及辖内分支机构。</w:t>
      </w:r>
    </w:p>
    <w:p>
      <w:pPr>
        <w:pStyle w:val="6"/>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二、实习对象</w:t>
      </w:r>
    </w:p>
    <w:p>
      <w:pPr>
        <w:pStyle w:val="6"/>
        <w:shd w:val="clear" w:color="auto" w:fill="FFFFFF"/>
        <w:spacing w:after="0" w:line="59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境内外高等院校</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2年应届毕业的在校生（含本科、硕士），专业不限。</w:t>
      </w:r>
    </w:p>
    <w:p>
      <w:pPr>
        <w:pStyle w:val="6"/>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三、实习条件</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（一）具有中华人民共和国国籍，热爱祖国，遵纪守法，无不良记录。</w:t>
      </w:r>
    </w:p>
    <w:p>
      <w:pPr>
        <w:pStyle w:val="6"/>
        <w:shd w:val="clear" w:color="auto" w:fill="FFFFFF"/>
        <w:spacing w:after="0" w:line="59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（二）学历及相关要求。具有大学本科及以上学历，境内高校在校生应为</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22年应届毕业生，境外院校留学人员能够在</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22年内从境外院校毕业并获得相应证书，取得教育部学历（学位）认证。</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（三）学业成绩优秀，在本专业排名靠前，无不合格科目。具有较强的学习适应能力、研究能力、抗压能力和团队协作能力，具有钻研精神和创新意识，身体健康。</w:t>
      </w:r>
    </w:p>
    <w:p>
      <w:pPr>
        <w:pStyle w:val="6"/>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四、实习时间</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w:t>
      </w:r>
      <w:r>
        <w:rPr>
          <w:rFonts w:ascii="仿宋_GB2312" w:hAnsi="仿宋_GB2312" w:eastAsia="仿宋_GB2312" w:cs="仿宋_GB2312"/>
          <w:sz w:val="32"/>
          <w:szCs w:val="32"/>
        </w:rPr>
        <w:t>7月-8</w:t>
      </w:r>
      <w:r>
        <w:rPr>
          <w:rFonts w:hint="eastAsia" w:ascii="仿宋_GB2312" w:hAnsi="仿宋_GB2312" w:eastAsia="仿宋_GB2312" w:cs="仿宋_GB2312"/>
          <w:sz w:val="32"/>
          <w:szCs w:val="32"/>
        </w:rPr>
        <w:t>月。</w:t>
      </w:r>
    </w:p>
    <w:p>
      <w:pPr>
        <w:pStyle w:val="6"/>
        <w:shd w:val="clear" w:color="auto" w:fill="FFFFFF"/>
        <w:spacing w:after="0" w:line="590" w:lineRule="exact"/>
        <w:ind w:firstLine="640" w:firstLineChars="200"/>
        <w:jc w:val="both"/>
        <w:rPr>
          <w:rFonts w:ascii="黑体" w:hAnsi="黑体" w:eastAsia="黑体" w:cs="Arial"/>
          <w:sz w:val="32"/>
          <w:szCs w:val="32"/>
        </w:rPr>
      </w:pPr>
      <w:r>
        <w:rPr>
          <w:rFonts w:hint="eastAsia" w:ascii="黑体" w:hAnsi="黑体" w:eastAsia="黑体" w:cs="Arial"/>
          <w:sz w:val="32"/>
          <w:szCs w:val="32"/>
        </w:rPr>
        <w:t>五、实习地点</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eastAsia="仿宋_GB2312"/>
          <w:sz w:val="32"/>
          <w:szCs w:val="32"/>
        </w:rPr>
        <w:t>上海市。</w:t>
      </w:r>
    </w:p>
    <w:p>
      <w:pPr>
        <w:pStyle w:val="6"/>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六、实习安排</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21年星令营暑期实习项目将以线上线下一体化运营方式</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rPr>
        <w:t>开展课程学习、课题研究、实岗体验等活动。本次暑期实习分为“入营初体验”和“实战冲顶赛”两个阶段：第一阶段“入营初体验”以线上为主，接受系统性“知识集训”和阶段性“限时考评”，我行将根据实习生积分排名和岗位需求综合确定进入第二阶段的实习生人选；第二阶段“实战冲顶赛”线上线下相结合，开展“强强对抗”课题研究，“深度体验”实岗锻炼，以及“能量供给”团建活动，并评选优秀新星。</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优秀新星可直通入围</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年度校园招聘统一笔试，在笔试通过后可获得20</w:t>
      </w:r>
      <w:r>
        <w:rPr>
          <w:rFonts w:hint="eastAsia" w:ascii="仿宋_GB2312" w:hAnsi="仿宋_GB2312" w:eastAsia="仿宋_GB2312" w:cs="仿宋_GB2312"/>
          <w:sz w:val="32"/>
          <w:szCs w:val="32"/>
        </w:rPr>
        <w:t>22</w:t>
      </w:r>
      <w:r>
        <w:rPr>
          <w:rFonts w:ascii="仿宋_GB2312" w:hAnsi="仿宋_GB2312" w:eastAsia="仿宋_GB2312" w:cs="仿宋_GB2312"/>
          <w:sz w:val="32"/>
          <w:szCs w:val="32"/>
        </w:rPr>
        <w:t>年度校园招聘各环节直通资格。</w:t>
      </w:r>
    </w:p>
    <w:p>
      <w:pPr>
        <w:pStyle w:val="6"/>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七、项目报名与选拔程序</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（一）网上报名申请（</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21年5</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21</w:t>
      </w:r>
      <w:r>
        <w:rPr>
          <w:rFonts w:ascii="仿宋_GB2312" w:hAnsi="仿宋_GB2312" w:eastAsia="仿宋_GB2312" w:cs="仿宋_GB2312"/>
          <w:sz w:val="32"/>
          <w:szCs w:val="32"/>
        </w:rPr>
        <w:t>日-</w:t>
      </w:r>
      <w:r>
        <w:rPr>
          <w:rFonts w:hint="eastAsia" w:ascii="仿宋_GB2312" w:hAnsi="仿宋_GB2312" w:eastAsia="仿宋_GB2312" w:cs="仿宋_GB2312"/>
          <w:sz w:val="32"/>
          <w:szCs w:val="32"/>
        </w:rPr>
        <w:t>6月6日）。请注册并登录我行人才招聘官方网站（</w:t>
      </w:r>
      <w:r>
        <w:rPr>
          <w:rFonts w:ascii="仿宋_GB2312" w:hAnsi="仿宋_GB2312" w:eastAsia="仿宋_GB2312" w:cs="仿宋_GB2312"/>
          <w:sz w:val="32"/>
          <w:szCs w:val="32"/>
        </w:rPr>
        <w:t>https://job.icbc.com.cn</w:t>
      </w:r>
      <w:r>
        <w:rPr>
          <w:rFonts w:hint="eastAsia" w:ascii="仿宋_GB2312" w:hAnsi="仿宋_GB2312" w:eastAsia="仿宋_GB2312" w:cs="仿宋_GB2312"/>
          <w:sz w:val="32"/>
          <w:szCs w:val="32"/>
        </w:rPr>
        <w:t>），点击“实习生招聘”栏目，或关注“中国工商银行人才招聘”微信公众号，点击“我要应聘”栏目，选择“上海分行”，在线填写个人简历，完成报名申请。</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（二）资格审查与测评考查（</w:t>
      </w:r>
      <w:r>
        <w:rPr>
          <w:rFonts w:ascii="仿宋_GB2312" w:hAnsi="仿宋_GB2312" w:eastAsia="仿宋_GB2312" w:cs="仿宋_GB2312"/>
          <w:sz w:val="32"/>
          <w:szCs w:val="32"/>
        </w:rPr>
        <w:t>6月</w:t>
      </w:r>
      <w:r>
        <w:rPr>
          <w:rFonts w:hint="eastAsia" w:ascii="仿宋_GB2312" w:hAnsi="仿宋_GB2312" w:eastAsia="仿宋_GB2312" w:cs="仿宋_GB2312"/>
          <w:sz w:val="32"/>
          <w:szCs w:val="32"/>
        </w:rPr>
        <w:t>中</w:t>
      </w:r>
      <w:r>
        <w:rPr>
          <w:rFonts w:ascii="仿宋_GB2312" w:hAnsi="仿宋_GB2312" w:eastAsia="仿宋_GB2312" w:cs="仿宋_GB2312"/>
          <w:sz w:val="32"/>
          <w:szCs w:val="32"/>
        </w:rPr>
        <w:t>下旬）</w:t>
      </w:r>
      <w:r>
        <w:rPr>
          <w:rFonts w:hint="eastAsia" w:ascii="仿宋_GB2312" w:hAnsi="仿宋_GB2312" w:eastAsia="仿宋_GB2312" w:cs="仿宋_GB2312"/>
          <w:sz w:val="32"/>
          <w:szCs w:val="32"/>
        </w:rPr>
        <w:t>。根据相关条件对申请者进行资格审查与测评考查，择优确定实习人选。</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黑体" w:hAnsi="黑体" w:eastAsia="黑体" w:cs="Arial"/>
          <w:sz w:val="32"/>
          <w:szCs w:val="32"/>
        </w:rPr>
        <w:t>八、注意事项</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（一）本次实习项目，</w:t>
      </w:r>
      <w:r>
        <w:rPr>
          <w:rFonts w:hint="eastAsia" w:ascii="仿宋_GB2312" w:hAnsi="仿宋_GB2312" w:eastAsia="仿宋_GB2312" w:cs="仿宋_GB2312"/>
          <w:b/>
          <w:bCs/>
          <w:sz w:val="32"/>
          <w:szCs w:val="32"/>
        </w:rPr>
        <w:t>每位申请者只能申请报名一家实习机构。</w:t>
      </w:r>
      <w:r>
        <w:rPr>
          <w:rFonts w:hint="eastAsia" w:ascii="仿宋_GB2312" w:hAnsi="仿宋_GB2312" w:eastAsia="仿宋_GB2312" w:cs="仿宋_GB2312"/>
          <w:sz w:val="32"/>
          <w:szCs w:val="32"/>
        </w:rPr>
        <w:t>各机构实习项目具体信息，可在我行人才招聘官方网站（https://job.icbc.com.cn）进行查询浏览。</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（二）本次实习项目可通过</w:t>
      </w:r>
      <w:r>
        <w:rPr>
          <w:rFonts w:ascii="仿宋_GB2312" w:hAnsi="仿宋_GB2312" w:eastAsia="仿宋_GB2312" w:cs="仿宋_GB2312"/>
          <w:sz w:val="32"/>
          <w:szCs w:val="32"/>
        </w:rPr>
        <w:t>PC</w:t>
      </w:r>
      <w:r>
        <w:rPr>
          <w:rFonts w:hint="eastAsia" w:ascii="仿宋_GB2312" w:hAnsi="仿宋_GB2312" w:eastAsia="仿宋_GB2312" w:cs="仿宋_GB2312"/>
          <w:sz w:val="32"/>
          <w:szCs w:val="32"/>
        </w:rPr>
        <w:t>端或手机移动端进行线上报名申请，不接受其他形式的报名。</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（三）我行将通过招聘系统站内信、手机短信或电子邮件等方式与申请人联系，请保持通信畅通。</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（四）申请人应对申请资料信息的真实性负责。如与事实不符，我行有权取消其申请资格，解除相关协议约定。</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（五）了解更多招聘讯息及相关动态，敬请关注“中国工商银行人才招聘”、“工商银行上海市分行”微信公众号。</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（六）我行有权根据需求变化以及报名情况等因素，调整、取消或终止相关实习计划，并对本次实习项目享有最终解释权。</w:t>
      </w:r>
    </w:p>
    <w:p>
      <w:pPr>
        <w:spacing w:line="590" w:lineRule="exact"/>
      </w:pPr>
    </w:p>
    <w:p>
      <w:pPr>
        <w:spacing w:line="590" w:lineRule="exact"/>
        <w:jc w:val="righ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中国工商银行股份有限公司上海市分行</w:t>
      </w:r>
    </w:p>
    <w:p>
      <w:pPr>
        <w:wordWrap w:val="0"/>
        <w:spacing w:line="590" w:lineRule="exact"/>
        <w:jc w:val="right"/>
      </w:pPr>
      <w:r>
        <w:rPr>
          <w:rFonts w:hint="eastAsia" w:ascii="仿宋_GB2312" w:hAnsi="仿宋_GB2312" w:eastAsia="仿宋_GB2312" w:cs="仿宋_GB2312"/>
          <w:bCs/>
          <w:kern w:val="0"/>
          <w:sz w:val="32"/>
          <w:szCs w:val="32"/>
        </w:rPr>
        <w:t xml:space="preserve">2021年5月21日        </w:t>
      </w:r>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MicrosoftYaHei">
    <w:altName w:val="Cambria"/>
    <w:panose1 w:val="00000000000000000000"/>
    <w:charset w:val="00"/>
    <w:family w:val="auto"/>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4</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91"/>
    <w:rsid w:val="00000EE8"/>
    <w:rsid w:val="00004ABF"/>
    <w:rsid w:val="00006671"/>
    <w:rsid w:val="00020415"/>
    <w:rsid w:val="00027276"/>
    <w:rsid w:val="00032358"/>
    <w:rsid w:val="00053C7A"/>
    <w:rsid w:val="000734F0"/>
    <w:rsid w:val="00074D3A"/>
    <w:rsid w:val="00091628"/>
    <w:rsid w:val="000B557E"/>
    <w:rsid w:val="000C5EE7"/>
    <w:rsid w:val="000D629C"/>
    <w:rsid w:val="000E16D8"/>
    <w:rsid w:val="000E67DB"/>
    <w:rsid w:val="00112201"/>
    <w:rsid w:val="00147A59"/>
    <w:rsid w:val="0015185B"/>
    <w:rsid w:val="00196EEE"/>
    <w:rsid w:val="001B0792"/>
    <w:rsid w:val="001D0D7B"/>
    <w:rsid w:val="001E0788"/>
    <w:rsid w:val="00205DC7"/>
    <w:rsid w:val="00227DA9"/>
    <w:rsid w:val="002535AB"/>
    <w:rsid w:val="00253E7C"/>
    <w:rsid w:val="002809DB"/>
    <w:rsid w:val="002A2CD6"/>
    <w:rsid w:val="002D577D"/>
    <w:rsid w:val="002F5758"/>
    <w:rsid w:val="0033587C"/>
    <w:rsid w:val="003504C7"/>
    <w:rsid w:val="00356B44"/>
    <w:rsid w:val="00373A90"/>
    <w:rsid w:val="0038111A"/>
    <w:rsid w:val="003B7E66"/>
    <w:rsid w:val="003C67EB"/>
    <w:rsid w:val="00402AAA"/>
    <w:rsid w:val="00447611"/>
    <w:rsid w:val="00465B06"/>
    <w:rsid w:val="00480EE9"/>
    <w:rsid w:val="004B1FC4"/>
    <w:rsid w:val="004B60D0"/>
    <w:rsid w:val="004C2A2F"/>
    <w:rsid w:val="004C3E61"/>
    <w:rsid w:val="005433AA"/>
    <w:rsid w:val="00544121"/>
    <w:rsid w:val="0055773B"/>
    <w:rsid w:val="0058336B"/>
    <w:rsid w:val="00590203"/>
    <w:rsid w:val="005A07F0"/>
    <w:rsid w:val="005A0FC6"/>
    <w:rsid w:val="005B174E"/>
    <w:rsid w:val="00672CFC"/>
    <w:rsid w:val="006A065B"/>
    <w:rsid w:val="006A79FA"/>
    <w:rsid w:val="006B0860"/>
    <w:rsid w:val="006C0941"/>
    <w:rsid w:val="006D374C"/>
    <w:rsid w:val="00705B11"/>
    <w:rsid w:val="00725784"/>
    <w:rsid w:val="00800CEA"/>
    <w:rsid w:val="0080211B"/>
    <w:rsid w:val="00802256"/>
    <w:rsid w:val="008042E2"/>
    <w:rsid w:val="00806CD5"/>
    <w:rsid w:val="008141C7"/>
    <w:rsid w:val="00815A38"/>
    <w:rsid w:val="008221D3"/>
    <w:rsid w:val="00836511"/>
    <w:rsid w:val="00884613"/>
    <w:rsid w:val="00890F23"/>
    <w:rsid w:val="008C4348"/>
    <w:rsid w:val="008D1A76"/>
    <w:rsid w:val="008D44DD"/>
    <w:rsid w:val="008F2EFA"/>
    <w:rsid w:val="00930CE6"/>
    <w:rsid w:val="0094738C"/>
    <w:rsid w:val="009A370B"/>
    <w:rsid w:val="009C3C5F"/>
    <w:rsid w:val="009D65B3"/>
    <w:rsid w:val="009F1B37"/>
    <w:rsid w:val="00A00F2A"/>
    <w:rsid w:val="00A34BF1"/>
    <w:rsid w:val="00A42A91"/>
    <w:rsid w:val="00A50CEB"/>
    <w:rsid w:val="00A55A24"/>
    <w:rsid w:val="00A55BA8"/>
    <w:rsid w:val="00A6073E"/>
    <w:rsid w:val="00A67C5C"/>
    <w:rsid w:val="00A70E53"/>
    <w:rsid w:val="00A96DC3"/>
    <w:rsid w:val="00AA2671"/>
    <w:rsid w:val="00AA5069"/>
    <w:rsid w:val="00B0037F"/>
    <w:rsid w:val="00B03B9A"/>
    <w:rsid w:val="00B2230A"/>
    <w:rsid w:val="00B2628C"/>
    <w:rsid w:val="00B35DBC"/>
    <w:rsid w:val="00B5360C"/>
    <w:rsid w:val="00B55095"/>
    <w:rsid w:val="00B560AF"/>
    <w:rsid w:val="00B64463"/>
    <w:rsid w:val="00B80055"/>
    <w:rsid w:val="00B9748B"/>
    <w:rsid w:val="00BB19E6"/>
    <w:rsid w:val="00BB4908"/>
    <w:rsid w:val="00BB5432"/>
    <w:rsid w:val="00BC6A11"/>
    <w:rsid w:val="00BF3914"/>
    <w:rsid w:val="00BF7BD9"/>
    <w:rsid w:val="00C018B0"/>
    <w:rsid w:val="00C2113D"/>
    <w:rsid w:val="00C5775D"/>
    <w:rsid w:val="00C73348"/>
    <w:rsid w:val="00CB1A61"/>
    <w:rsid w:val="00CC5251"/>
    <w:rsid w:val="00CD7F43"/>
    <w:rsid w:val="00CF008F"/>
    <w:rsid w:val="00CF3812"/>
    <w:rsid w:val="00D07741"/>
    <w:rsid w:val="00D24B5B"/>
    <w:rsid w:val="00D34465"/>
    <w:rsid w:val="00D36DF2"/>
    <w:rsid w:val="00D40AAA"/>
    <w:rsid w:val="00D541B8"/>
    <w:rsid w:val="00D66596"/>
    <w:rsid w:val="00DC4961"/>
    <w:rsid w:val="00E00900"/>
    <w:rsid w:val="00E21583"/>
    <w:rsid w:val="00E24B56"/>
    <w:rsid w:val="00E32711"/>
    <w:rsid w:val="00E51494"/>
    <w:rsid w:val="00E5568A"/>
    <w:rsid w:val="00E6534B"/>
    <w:rsid w:val="00E73963"/>
    <w:rsid w:val="00E90580"/>
    <w:rsid w:val="00EB1D46"/>
    <w:rsid w:val="00EC1F78"/>
    <w:rsid w:val="00EF2E86"/>
    <w:rsid w:val="00F02FD2"/>
    <w:rsid w:val="00F148B8"/>
    <w:rsid w:val="00F42653"/>
    <w:rsid w:val="00F4472A"/>
    <w:rsid w:val="00F76518"/>
    <w:rsid w:val="00F95BC0"/>
    <w:rsid w:val="00FA065D"/>
    <w:rsid w:val="00FA1145"/>
    <w:rsid w:val="00FA3FCC"/>
    <w:rsid w:val="00FA7E4E"/>
    <w:rsid w:val="00FB0140"/>
    <w:rsid w:val="00FD33D8"/>
    <w:rsid w:val="00FD342A"/>
    <w:rsid w:val="00FD4935"/>
    <w:rsid w:val="00FF3264"/>
    <w:rsid w:val="01F06E43"/>
    <w:rsid w:val="02BD0FD2"/>
    <w:rsid w:val="03835096"/>
    <w:rsid w:val="043264C6"/>
    <w:rsid w:val="05545D30"/>
    <w:rsid w:val="0B3E7CA7"/>
    <w:rsid w:val="0D856F49"/>
    <w:rsid w:val="114D0D68"/>
    <w:rsid w:val="124A4F51"/>
    <w:rsid w:val="125A57AF"/>
    <w:rsid w:val="12956660"/>
    <w:rsid w:val="15732CD1"/>
    <w:rsid w:val="15ED7789"/>
    <w:rsid w:val="16307C56"/>
    <w:rsid w:val="18F403DB"/>
    <w:rsid w:val="18F5265D"/>
    <w:rsid w:val="19163B38"/>
    <w:rsid w:val="19E92B76"/>
    <w:rsid w:val="1A062D85"/>
    <w:rsid w:val="1A9128E7"/>
    <w:rsid w:val="1C5323FB"/>
    <w:rsid w:val="1D3E23CA"/>
    <w:rsid w:val="21C7267A"/>
    <w:rsid w:val="224D7D82"/>
    <w:rsid w:val="229907A6"/>
    <w:rsid w:val="22CA5FA6"/>
    <w:rsid w:val="25236C08"/>
    <w:rsid w:val="2738546E"/>
    <w:rsid w:val="27E814DA"/>
    <w:rsid w:val="292678C7"/>
    <w:rsid w:val="29F35A6C"/>
    <w:rsid w:val="2A5A7675"/>
    <w:rsid w:val="2C972238"/>
    <w:rsid w:val="2CB827E0"/>
    <w:rsid w:val="2D4161AB"/>
    <w:rsid w:val="2D7B73B0"/>
    <w:rsid w:val="2EB40DB9"/>
    <w:rsid w:val="31CF7481"/>
    <w:rsid w:val="34307256"/>
    <w:rsid w:val="356E328A"/>
    <w:rsid w:val="36124ECB"/>
    <w:rsid w:val="379353B4"/>
    <w:rsid w:val="37EB6527"/>
    <w:rsid w:val="386372C7"/>
    <w:rsid w:val="3A154631"/>
    <w:rsid w:val="3C0D4C97"/>
    <w:rsid w:val="44C640A0"/>
    <w:rsid w:val="44D06EA4"/>
    <w:rsid w:val="45427927"/>
    <w:rsid w:val="48286A6C"/>
    <w:rsid w:val="49BE089E"/>
    <w:rsid w:val="4B763374"/>
    <w:rsid w:val="4E422D7E"/>
    <w:rsid w:val="4E744E88"/>
    <w:rsid w:val="4FDC5211"/>
    <w:rsid w:val="55163373"/>
    <w:rsid w:val="56E06B46"/>
    <w:rsid w:val="57333138"/>
    <w:rsid w:val="59647A96"/>
    <w:rsid w:val="5DC120D0"/>
    <w:rsid w:val="5E471E79"/>
    <w:rsid w:val="5ECC590D"/>
    <w:rsid w:val="5F7371DD"/>
    <w:rsid w:val="61557F03"/>
    <w:rsid w:val="67A71C85"/>
    <w:rsid w:val="69FE2FA8"/>
    <w:rsid w:val="6BDB0D07"/>
    <w:rsid w:val="6E7F2132"/>
    <w:rsid w:val="6F9D2BB7"/>
    <w:rsid w:val="72650DA3"/>
    <w:rsid w:val="72BA676C"/>
    <w:rsid w:val="77E34BB6"/>
    <w:rsid w:val="792C5146"/>
    <w:rsid w:val="79CD6111"/>
    <w:rsid w:val="7BE94CC5"/>
    <w:rsid w:val="7D90587E"/>
    <w:rsid w:val="7DE57B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unhideWhenUsed/>
    <w:uiPriority w:val="99"/>
    <w:pPr>
      <w:jc w:val="left"/>
    </w:pPr>
  </w:style>
  <w:style w:type="paragraph" w:styleId="3">
    <w:name w:val="Balloon Text"/>
    <w:basedOn w:val="1"/>
    <w:link w:val="14"/>
    <w:unhideWhenUsed/>
    <w:uiPriority w:val="99"/>
    <w:rPr>
      <w:sz w:val="18"/>
      <w:szCs w:val="18"/>
    </w:r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after="240"/>
      <w:jc w:val="left"/>
    </w:pPr>
    <w:rPr>
      <w:rFonts w:ascii="宋体" w:hAnsi="宋体" w:eastAsia="宋体" w:cs="宋体"/>
      <w:kern w:val="0"/>
      <w:sz w:val="24"/>
      <w:szCs w:val="24"/>
    </w:rPr>
  </w:style>
  <w:style w:type="paragraph" w:styleId="7">
    <w:name w:val="annotation subject"/>
    <w:basedOn w:val="2"/>
    <w:next w:val="2"/>
    <w:link w:val="13"/>
    <w:unhideWhenUsed/>
    <w:uiPriority w:val="99"/>
    <w:rPr>
      <w:b/>
      <w:bCs/>
    </w:rPr>
  </w:style>
  <w:style w:type="character" w:styleId="10">
    <w:name w:val="FollowedHyperlink"/>
    <w:basedOn w:val="9"/>
    <w:uiPriority w:val="0"/>
    <w:rPr>
      <w:color w:val="800080"/>
      <w:u w:val="single"/>
    </w:rPr>
  </w:style>
  <w:style w:type="character" w:styleId="11">
    <w:name w:val="annotation reference"/>
    <w:basedOn w:val="9"/>
    <w:unhideWhenUsed/>
    <w:qFormat/>
    <w:uiPriority w:val="99"/>
    <w:rPr>
      <w:sz w:val="21"/>
      <w:szCs w:val="21"/>
    </w:rPr>
  </w:style>
  <w:style w:type="character" w:customStyle="1" w:styleId="12">
    <w:name w:val="批注文字 Char"/>
    <w:basedOn w:val="9"/>
    <w:link w:val="2"/>
    <w:qFormat/>
    <w:uiPriority w:val="99"/>
  </w:style>
  <w:style w:type="character" w:customStyle="1" w:styleId="13">
    <w:name w:val="批注主题 Char"/>
    <w:basedOn w:val="12"/>
    <w:link w:val="7"/>
    <w:semiHidden/>
    <w:qFormat/>
    <w:uiPriority w:val="99"/>
    <w:rPr>
      <w:b/>
      <w:bCs/>
    </w:rPr>
  </w:style>
  <w:style w:type="character" w:customStyle="1" w:styleId="14">
    <w:name w:val="批注框文本 Char"/>
    <w:basedOn w:val="9"/>
    <w:link w:val="3"/>
    <w:semiHidden/>
    <w:qFormat/>
    <w:uiPriority w:val="99"/>
    <w:rPr>
      <w:sz w:val="18"/>
      <w:szCs w:val="18"/>
    </w:rPr>
  </w:style>
  <w:style w:type="character" w:customStyle="1" w:styleId="15">
    <w:name w:val="页眉 Char"/>
    <w:basedOn w:val="9"/>
    <w:link w:val="5"/>
    <w:qFormat/>
    <w:uiPriority w:val="99"/>
    <w:rPr>
      <w:sz w:val="18"/>
      <w:szCs w:val="18"/>
    </w:rPr>
  </w:style>
  <w:style w:type="character" w:customStyle="1" w:styleId="16">
    <w:name w:val="页脚 Char"/>
    <w:basedOn w:val="9"/>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OEM</Company>
  <Pages>4</Pages>
  <Words>253</Words>
  <Characters>1444</Characters>
  <Lines>12</Lines>
  <Paragraphs>3</Paragraphs>
  <TotalTime>31</TotalTime>
  <ScaleCrop>false</ScaleCrop>
  <LinksUpToDate>false</LinksUpToDate>
  <CharactersWithSpaces>1694</CharactersWithSpaces>
  <Application>WPS Office_11.8.2.8902_F1E327BC-269C-435d-A152-05C5408002CA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2021-05-19T01:50:00Z</dcterms:created>
  <dc:creator>总行_人资部_曾伟晋</dc:creator>
  <cp:lastModifiedBy>总行_人力资源部_刘子艺</cp:lastModifiedBy>
  <cp:lastPrinted>2020-06-02T03:17:00Z</cp:lastPrinted>
  <dcterms:modified xsi:type="dcterms:W3CDTF">2021-05-21T00:44:06Z</dcterms:modified>
  <dc:title>中国工商银行2020年星辰训练营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2052-11.8.2.8902</vt:lpwstr>
  </property>
</Properties>
</file>