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59" w:rsidRDefault="0073286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安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仁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农商银行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kern w:val="0"/>
          <w:sz w:val="36"/>
          <w:szCs w:val="36"/>
        </w:rPr>
        <w:t>年员工招聘报考专业参考目</w:t>
      </w: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6"/>
          <w:szCs w:val="36"/>
        </w:rPr>
        <w:t>录</w:t>
      </w:r>
    </w:p>
    <w:p w:rsidR="00746059" w:rsidRDefault="00746059">
      <w:pPr>
        <w:spacing w:line="540" w:lineRule="exact"/>
        <w:ind w:left="1599" w:hanging="958"/>
        <w:jc w:val="left"/>
        <w:rPr>
          <w:rFonts w:ascii="黑体" w:eastAsia="黑体" w:hAnsi="宋体" w:cs="黑体"/>
          <w:spacing w:val="-6"/>
          <w:kern w:val="0"/>
          <w:sz w:val="32"/>
          <w:szCs w:val="32"/>
        </w:rPr>
      </w:pPr>
    </w:p>
    <w:p w:rsidR="00746059" w:rsidRDefault="00732867">
      <w:pPr>
        <w:spacing w:line="540" w:lineRule="exact"/>
        <w:ind w:left="1598" w:hanging="960"/>
        <w:jc w:val="left"/>
        <w:rPr>
          <w:rFonts w:ascii="黑体" w:eastAsia="黑体" w:hAnsi="宋体" w:cs="黑体"/>
          <w:spacing w:val="-6"/>
          <w:kern w:val="0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0"/>
          <w:sz w:val="32"/>
          <w:szCs w:val="32"/>
        </w:rPr>
        <w:t>一、研究生学历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(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公司金融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)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与理论、信息管理与信息系统、微电子学与固体电子学、电子与通信工程、通信与信息系统、信号与信息处理、计算机技术、信息与通信工程等。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:rsidR="00746059" w:rsidRDefault="00732867">
      <w:pPr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理学类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应用数学、应用统计、统计学、统计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学硕士、基础数学、计算数学、概率论与数理统计、运筹学与控制论等。</w:t>
      </w:r>
    </w:p>
    <w:p w:rsidR="00746059" w:rsidRDefault="00732867">
      <w:pPr>
        <w:spacing w:line="540" w:lineRule="exact"/>
        <w:ind w:firstLineChars="200" w:firstLine="616"/>
        <w:rPr>
          <w:rFonts w:ascii="仿宋" w:eastAsia="仿宋" w:hAnsi="仿宋"/>
          <w:bCs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土木工程与建筑学类</w:t>
      </w:r>
      <w:r>
        <w:rPr>
          <w:rFonts w:ascii="仿宋" w:eastAsia="仿宋" w:hAnsi="仿宋" w:hint="eastAsia"/>
          <w:b/>
          <w:bCs/>
          <w:spacing w:val="-6"/>
          <w:sz w:val="32"/>
          <w:szCs w:val="32"/>
        </w:rPr>
        <w:t>：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岩土工程、结构工程、市政工程、城乡规划学、建筑学、建筑与土木工程、建筑设计及其理论、土木工程规划与管理、城市规划与设计。</w:t>
      </w:r>
    </w:p>
    <w:p w:rsidR="00746059" w:rsidRDefault="00732867">
      <w:pPr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746059" w:rsidRDefault="00732867">
      <w:pPr>
        <w:spacing w:line="540" w:lineRule="exact"/>
        <w:ind w:firstLineChars="200" w:firstLine="616"/>
        <w:rPr>
          <w:spacing w:val="-6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体育学类专业：体育人文社会学、运动人体科学、体育教育训练学、民族传统体育学、体育教育学、体育硕士等。</w:t>
      </w:r>
    </w:p>
    <w:p w:rsidR="00746059" w:rsidRDefault="00732867">
      <w:pPr>
        <w:pStyle w:val="a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艺术类：艺术学、音乐学、舞蹈学、戏剧戏曲学、电影学、广播电视艺术学、美术学、设计艺术学、艺术、艺术学理论、音乐与舞蹈学、戏剧与影视学、设计学等。</w:t>
      </w:r>
    </w:p>
    <w:p w:rsidR="00746059" w:rsidRDefault="00732867">
      <w:pPr>
        <w:spacing w:line="540" w:lineRule="exact"/>
        <w:ind w:firstLine="640"/>
        <w:jc w:val="left"/>
        <w:rPr>
          <w:rFonts w:ascii="黑体" w:eastAsia="黑体" w:hAnsi="宋体" w:cs="黑体"/>
          <w:spacing w:val="-6"/>
          <w:kern w:val="0"/>
          <w:sz w:val="32"/>
          <w:szCs w:val="32"/>
        </w:rPr>
      </w:pPr>
      <w:r>
        <w:rPr>
          <w:rFonts w:ascii="黑体" w:eastAsia="黑体" w:hAnsi="宋体" w:cs="黑体" w:hint="eastAsia"/>
          <w:spacing w:val="-6"/>
          <w:kern w:val="0"/>
          <w:sz w:val="32"/>
          <w:szCs w:val="32"/>
        </w:rPr>
        <w:t>二、大学本科学历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经济金融类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经济学、经济统计学、金融学、金融工程、保险学、保险、投资学、国际经济与贸易、贸易经济、国民经济管理、</w:t>
      </w: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商务经济学、金融数学、经济与金融、信用管理、财政学、税收学、税务等。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财务会计类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会计学、会计（国际）、财务管理、财务会计教育、资产评估、会计电算化、企业财务管理等。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法学类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法学等。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计算机类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电子信息工程、电子信息与工程、电子信息工程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(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金融电子技术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)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管理学类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746059" w:rsidRDefault="00732867">
      <w:pPr>
        <w:spacing w:line="540" w:lineRule="exact"/>
        <w:ind w:firstLine="64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理学类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: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信息与计算科学、统计学、应用统计学、数学与应用数学等。</w:t>
      </w:r>
    </w:p>
    <w:p w:rsidR="00746059" w:rsidRDefault="00732867">
      <w:pPr>
        <w:spacing w:line="540" w:lineRule="exact"/>
        <w:ind w:firstLineChars="200" w:firstLine="616"/>
        <w:rPr>
          <w:spacing w:val="-6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土木工程与建筑类：</w:t>
      </w:r>
      <w:r>
        <w:rPr>
          <w:rFonts w:ascii="仿宋" w:eastAsia="仿宋" w:hAnsi="仿宋" w:cs="宋体" w:hint="eastAsia"/>
          <w:spacing w:val="-6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建筑学、城乡规划、城市规划、建筑工程、建筑环境与设备工程、道路桥梁工程、城市地下工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lastRenderedPageBreak/>
        <w:t>程、给水排水工程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等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。</w:t>
      </w:r>
    </w:p>
    <w:p w:rsidR="00746059" w:rsidRDefault="00732867">
      <w:pPr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文学类：汉语言文学、汉语言、应用语言学、秘书学、文秘学、新闻学、广告学、传播学、网络与新媒体、广播电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视新闻学、广播电视学等。</w:t>
      </w:r>
    </w:p>
    <w:p w:rsidR="00746059" w:rsidRDefault="00732867">
      <w:pPr>
        <w:pStyle w:val="a0"/>
        <w:spacing w:line="540" w:lineRule="exact"/>
        <w:ind w:firstLineChars="200" w:firstLine="616"/>
        <w:rPr>
          <w:rFonts w:eastAsia="仿宋"/>
          <w:spacing w:val="-6"/>
        </w:rPr>
      </w:pPr>
      <w:r>
        <w:rPr>
          <w:rFonts w:ascii="仿宋_GB2312" w:hAnsi="仿宋_GB2312" w:cs="仿宋_GB2312" w:hint="eastAsia"/>
          <w:spacing w:val="-6"/>
          <w:sz w:val="32"/>
          <w:szCs w:val="32"/>
        </w:rPr>
        <w:t>体育学类：体育教育、运动训练、社会体育指导与管理、武术与民族传统体育、运动人体科学、运动康复、休闲体育、体能训练、冰雪运动、电子竞技运动与管理、智能体育工程、体育旅游、运动能力开发等。</w:t>
      </w:r>
    </w:p>
    <w:p w:rsidR="00746059" w:rsidRDefault="00732867">
      <w:pPr>
        <w:pStyle w:val="p0"/>
        <w:spacing w:line="540" w:lineRule="exact"/>
        <w:ind w:firstLine="640"/>
        <w:jc w:val="left"/>
        <w:rPr>
          <w:spacing w:val="-6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美术学、绘画、雕塑、摄影、艺术设计学、视觉传达设计、环境设计、产品设计、服装与服饰设计、公共艺术、工艺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美术、数字媒体艺术、影视摄影与制作、书法学、中国画、艺术与科技、实验艺术、陶瓷艺术设计、跨媒体艺术、漫画、新媒体艺术、包装设计、舞蹈教育、影视技术、流行音乐、音乐治疗、流行舞蹈、戏剧教育等。</w:t>
      </w:r>
    </w:p>
    <w:p w:rsidR="00746059" w:rsidRDefault="00746059">
      <w:pPr>
        <w:pStyle w:val="a4"/>
        <w:spacing w:line="540" w:lineRule="exact"/>
        <w:jc w:val="left"/>
        <w:rPr>
          <w:rFonts w:ascii="仿宋" w:eastAsia="仿宋" w:hAnsi="仿宋" w:cs="仿宋"/>
          <w:spacing w:val="-6"/>
          <w:kern w:val="0"/>
          <w:sz w:val="32"/>
          <w:szCs w:val="32"/>
        </w:rPr>
      </w:pPr>
    </w:p>
    <w:p w:rsidR="00746059" w:rsidRDefault="00746059">
      <w:pPr>
        <w:spacing w:line="540" w:lineRule="exact"/>
        <w:rPr>
          <w:spacing w:val="-6"/>
        </w:rPr>
      </w:pPr>
    </w:p>
    <w:sectPr w:rsidR="00746059">
      <w:footerReference w:type="default" r:id="rId7"/>
      <w:pgSz w:w="11906" w:h="16838"/>
      <w:pgMar w:top="2098" w:right="141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67" w:rsidRDefault="00732867">
      <w:r>
        <w:separator/>
      </w:r>
    </w:p>
  </w:endnote>
  <w:endnote w:type="continuationSeparator" w:id="0">
    <w:p w:rsidR="00732867" w:rsidRDefault="0073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黑体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59" w:rsidRDefault="007328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059" w:rsidRDefault="007328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E58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6059" w:rsidRDefault="007328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E58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67" w:rsidRDefault="00732867">
      <w:r>
        <w:separator/>
      </w:r>
    </w:p>
  </w:footnote>
  <w:footnote w:type="continuationSeparator" w:id="0">
    <w:p w:rsidR="00732867" w:rsidRDefault="0073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9"/>
    <w:rsid w:val="001A4716"/>
    <w:rsid w:val="001E5851"/>
    <w:rsid w:val="00732867"/>
    <w:rsid w:val="00746059"/>
    <w:rsid w:val="030A55F9"/>
    <w:rsid w:val="03163C1F"/>
    <w:rsid w:val="037F78E3"/>
    <w:rsid w:val="042E07AD"/>
    <w:rsid w:val="046E32F5"/>
    <w:rsid w:val="04873420"/>
    <w:rsid w:val="04F3124F"/>
    <w:rsid w:val="06860063"/>
    <w:rsid w:val="06867243"/>
    <w:rsid w:val="07042EC4"/>
    <w:rsid w:val="08CE0793"/>
    <w:rsid w:val="08FD1DEA"/>
    <w:rsid w:val="090E3B1E"/>
    <w:rsid w:val="092620F5"/>
    <w:rsid w:val="096A3E0E"/>
    <w:rsid w:val="09CE7376"/>
    <w:rsid w:val="0A3F630F"/>
    <w:rsid w:val="0A762E91"/>
    <w:rsid w:val="0B1441E3"/>
    <w:rsid w:val="0C792D81"/>
    <w:rsid w:val="0CC949BA"/>
    <w:rsid w:val="0CF15809"/>
    <w:rsid w:val="0D077DD0"/>
    <w:rsid w:val="0D4728C2"/>
    <w:rsid w:val="0D5A47F4"/>
    <w:rsid w:val="0DDC74AE"/>
    <w:rsid w:val="0E6B43D9"/>
    <w:rsid w:val="0EF40828"/>
    <w:rsid w:val="0F9B32F0"/>
    <w:rsid w:val="109611B9"/>
    <w:rsid w:val="11737FE3"/>
    <w:rsid w:val="122E671C"/>
    <w:rsid w:val="12B6425B"/>
    <w:rsid w:val="13806B2E"/>
    <w:rsid w:val="14121EBF"/>
    <w:rsid w:val="161377E5"/>
    <w:rsid w:val="161A0B74"/>
    <w:rsid w:val="16B51A8E"/>
    <w:rsid w:val="17326391"/>
    <w:rsid w:val="1761510E"/>
    <w:rsid w:val="17EB4485"/>
    <w:rsid w:val="187A0EA0"/>
    <w:rsid w:val="19071B89"/>
    <w:rsid w:val="19680E93"/>
    <w:rsid w:val="19B1072B"/>
    <w:rsid w:val="1AE04969"/>
    <w:rsid w:val="1B123056"/>
    <w:rsid w:val="1B6B65ED"/>
    <w:rsid w:val="1B9D4D38"/>
    <w:rsid w:val="1D187DD7"/>
    <w:rsid w:val="1E3B5B2B"/>
    <w:rsid w:val="1EB616D2"/>
    <w:rsid w:val="1F1E733F"/>
    <w:rsid w:val="20E47FA4"/>
    <w:rsid w:val="22384C74"/>
    <w:rsid w:val="2470148B"/>
    <w:rsid w:val="24BA38F0"/>
    <w:rsid w:val="2553736C"/>
    <w:rsid w:val="26CF5017"/>
    <w:rsid w:val="27532C8B"/>
    <w:rsid w:val="278F6A89"/>
    <w:rsid w:val="279B21C1"/>
    <w:rsid w:val="29743ACD"/>
    <w:rsid w:val="2AFB6EA9"/>
    <w:rsid w:val="2B4E3C32"/>
    <w:rsid w:val="2C5801F0"/>
    <w:rsid w:val="2D4C0AB0"/>
    <w:rsid w:val="306B2402"/>
    <w:rsid w:val="30B9743E"/>
    <w:rsid w:val="32E11632"/>
    <w:rsid w:val="36463517"/>
    <w:rsid w:val="36B64491"/>
    <w:rsid w:val="37D363D4"/>
    <w:rsid w:val="38D81FF3"/>
    <w:rsid w:val="393F1CA1"/>
    <w:rsid w:val="398B39B3"/>
    <w:rsid w:val="39C64F75"/>
    <w:rsid w:val="3A1439A9"/>
    <w:rsid w:val="3A4F26D3"/>
    <w:rsid w:val="3A6075E0"/>
    <w:rsid w:val="3ACA591A"/>
    <w:rsid w:val="3AFC4724"/>
    <w:rsid w:val="3D72675E"/>
    <w:rsid w:val="3F10390D"/>
    <w:rsid w:val="40A45141"/>
    <w:rsid w:val="41D70CC4"/>
    <w:rsid w:val="42DF267A"/>
    <w:rsid w:val="43D9531B"/>
    <w:rsid w:val="444767DC"/>
    <w:rsid w:val="44945E91"/>
    <w:rsid w:val="459A2541"/>
    <w:rsid w:val="46C2478C"/>
    <w:rsid w:val="46E34C7E"/>
    <w:rsid w:val="472E59C5"/>
    <w:rsid w:val="47996433"/>
    <w:rsid w:val="47AE41B8"/>
    <w:rsid w:val="47CD21CE"/>
    <w:rsid w:val="483225CA"/>
    <w:rsid w:val="495B5585"/>
    <w:rsid w:val="49715E83"/>
    <w:rsid w:val="49A76574"/>
    <w:rsid w:val="49D905FE"/>
    <w:rsid w:val="4A070200"/>
    <w:rsid w:val="4B890B2B"/>
    <w:rsid w:val="4CCA6149"/>
    <w:rsid w:val="4D8678A0"/>
    <w:rsid w:val="4E5F534B"/>
    <w:rsid w:val="4E9F1040"/>
    <w:rsid w:val="4ED432AF"/>
    <w:rsid w:val="4EE259CC"/>
    <w:rsid w:val="4FAB1D74"/>
    <w:rsid w:val="4FB92BFF"/>
    <w:rsid w:val="504E0A19"/>
    <w:rsid w:val="514F1C5D"/>
    <w:rsid w:val="5166225E"/>
    <w:rsid w:val="51D402F0"/>
    <w:rsid w:val="51D55442"/>
    <w:rsid w:val="521701AA"/>
    <w:rsid w:val="52601F3A"/>
    <w:rsid w:val="52CA29FF"/>
    <w:rsid w:val="54E16725"/>
    <w:rsid w:val="56DE027B"/>
    <w:rsid w:val="578F3F9A"/>
    <w:rsid w:val="58067E9D"/>
    <w:rsid w:val="59140E77"/>
    <w:rsid w:val="59E243BE"/>
    <w:rsid w:val="5A21696F"/>
    <w:rsid w:val="5AD97498"/>
    <w:rsid w:val="5BF75580"/>
    <w:rsid w:val="5D9C74F3"/>
    <w:rsid w:val="5EDB2CF2"/>
    <w:rsid w:val="61AF3E33"/>
    <w:rsid w:val="62EF025F"/>
    <w:rsid w:val="63D2254A"/>
    <w:rsid w:val="63EF215A"/>
    <w:rsid w:val="650C50F9"/>
    <w:rsid w:val="65B32F87"/>
    <w:rsid w:val="65F92EF7"/>
    <w:rsid w:val="66916FE9"/>
    <w:rsid w:val="66D71D69"/>
    <w:rsid w:val="670C7F70"/>
    <w:rsid w:val="67DE478E"/>
    <w:rsid w:val="6861575B"/>
    <w:rsid w:val="68960EA7"/>
    <w:rsid w:val="68F153A2"/>
    <w:rsid w:val="696B76FC"/>
    <w:rsid w:val="69BE70B1"/>
    <w:rsid w:val="6A266477"/>
    <w:rsid w:val="6C451188"/>
    <w:rsid w:val="6C692CA0"/>
    <w:rsid w:val="6D766A69"/>
    <w:rsid w:val="6E4A5C33"/>
    <w:rsid w:val="6E5D310B"/>
    <w:rsid w:val="6EB72E3D"/>
    <w:rsid w:val="70746E68"/>
    <w:rsid w:val="71021DE3"/>
    <w:rsid w:val="711D41BE"/>
    <w:rsid w:val="72256550"/>
    <w:rsid w:val="7282548A"/>
    <w:rsid w:val="73B021B6"/>
    <w:rsid w:val="74503B27"/>
    <w:rsid w:val="756E7928"/>
    <w:rsid w:val="758C37C4"/>
    <w:rsid w:val="75EE72D4"/>
    <w:rsid w:val="77132317"/>
    <w:rsid w:val="775F44B7"/>
    <w:rsid w:val="77C76884"/>
    <w:rsid w:val="78204BD0"/>
    <w:rsid w:val="782D2DA3"/>
    <w:rsid w:val="7895063E"/>
    <w:rsid w:val="79B41898"/>
    <w:rsid w:val="79C65DD4"/>
    <w:rsid w:val="7A667E68"/>
    <w:rsid w:val="7AAA69E3"/>
    <w:rsid w:val="7BB8637D"/>
    <w:rsid w:val="7C1612A6"/>
    <w:rsid w:val="7CA84E56"/>
    <w:rsid w:val="7CEF6DE2"/>
    <w:rsid w:val="7D425704"/>
    <w:rsid w:val="7D426809"/>
    <w:rsid w:val="7E644B16"/>
    <w:rsid w:val="7ECF384A"/>
    <w:rsid w:val="7F9334E6"/>
    <w:rsid w:val="7F94506A"/>
    <w:rsid w:val="7FB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51B112-6F05-44BB-B61C-AFBC12D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仿宋_GB2312"/>
      <w:sz w:val="3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</w:style>
  <w:style w:type="paragraph" w:customStyle="1" w:styleId="Bodytext1">
    <w:name w:val="Body text|1"/>
    <w:basedOn w:val="a"/>
    <w:qFormat/>
    <w:pPr>
      <w:spacing w:line="41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Char">
    <w:name w:val="Char"/>
    <w:basedOn w:val="a"/>
    <w:qFormat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资产管理中心</dc:creator>
  <cp:lastModifiedBy>冯维华</cp:lastModifiedBy>
  <cp:revision>2</cp:revision>
  <cp:lastPrinted>2021-12-21T01:22:00Z</cp:lastPrinted>
  <dcterms:created xsi:type="dcterms:W3CDTF">2021-05-26T02:40:00Z</dcterms:created>
  <dcterms:modified xsi:type="dcterms:W3CDTF">2021-12-25T09:40:00Z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19F4F89B16AF4634876013B623C462BC</vt:lpwstr>
  </property>
</Properties>
</file>