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0" w:lineRule="exact"/>
        <w:ind w:firstLine="0" w:firstLineChars="0"/>
        <w:jc w:val="center"/>
        <w:rPr>
          <w:rFonts w:hint="eastAsia" w:ascii="黑体" w:hAnsi="黑体" w:eastAsia="黑体" w:cs="黑体"/>
          <w:sz w:val="39"/>
          <w:szCs w:val="39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9"/>
          <w:szCs w:val="39"/>
          <w:shd w:val="clear" w:color="auto" w:fill="FFFFFF"/>
          <w:lang w:val="en-US" w:eastAsia="zh-CN" w:bidi="ar-SA"/>
        </w:rPr>
        <w:t>中国工商银行</w:t>
      </w:r>
      <w:r>
        <w:rPr>
          <w:rFonts w:hint="eastAsia" w:ascii="黑体" w:hAnsi="黑体" w:eastAsia="黑体" w:cs="黑体"/>
          <w:sz w:val="39"/>
          <w:szCs w:val="39"/>
          <w:u w:val="none"/>
          <w:shd w:val="clear" w:color="auto" w:fill="FFFFFF"/>
          <w:lang w:val="en-US" w:eastAsia="zh-CN" w:bidi="ar-SA"/>
        </w:rPr>
        <w:t>海南分行</w:t>
      </w:r>
      <w:r>
        <w:rPr>
          <w:rFonts w:ascii="黑体" w:hAnsi="黑体" w:eastAsia="黑体" w:cs="黑体"/>
          <w:sz w:val="39"/>
          <w:szCs w:val="39"/>
          <w:shd w:val="clear" w:color="auto" w:fill="FFFFFF"/>
          <w:lang w:val="en-US" w:eastAsia="zh-CN" w:bidi="ar-SA"/>
        </w:rPr>
        <w:t>20</w:t>
      </w:r>
      <w:r>
        <w:rPr>
          <w:rFonts w:hint="eastAsia" w:ascii="黑体" w:hAnsi="黑体" w:eastAsia="黑体" w:cs="黑体"/>
          <w:sz w:val="39"/>
          <w:szCs w:val="39"/>
          <w:shd w:val="clear" w:color="auto" w:fill="FFFFFF"/>
          <w:lang w:val="en-US" w:eastAsia="zh-CN" w:bidi="ar-SA"/>
        </w:rPr>
        <w:t>23</w:t>
      </w:r>
      <w:r>
        <w:rPr>
          <w:rFonts w:ascii="黑体" w:hAnsi="黑体" w:eastAsia="黑体" w:cs="黑体"/>
          <w:sz w:val="39"/>
          <w:szCs w:val="39"/>
          <w:shd w:val="clear" w:color="auto" w:fill="FFFFFF"/>
          <w:lang w:val="en-US" w:eastAsia="zh-CN" w:bidi="ar-SA"/>
        </w:rPr>
        <w:t>年</w:t>
      </w:r>
      <w:r>
        <w:rPr>
          <w:rFonts w:hint="eastAsia" w:ascii="黑体" w:hAnsi="黑体" w:eastAsia="黑体" w:cs="黑体"/>
          <w:sz w:val="39"/>
          <w:szCs w:val="39"/>
          <w:shd w:val="clear" w:color="auto" w:fill="FFFFFF"/>
          <w:lang w:val="en-US" w:eastAsia="zh-CN" w:bidi="ar-SA"/>
        </w:rPr>
        <w:t>星令营</w:t>
      </w:r>
    </w:p>
    <w:p>
      <w:pPr>
        <w:widowControl w:val="0"/>
        <w:spacing w:line="590" w:lineRule="exact"/>
        <w:ind w:firstLine="0" w:firstLineChars="0"/>
        <w:jc w:val="center"/>
        <w:rPr>
          <w:rFonts w:ascii="黑体" w:hAnsi="黑体" w:eastAsia="黑体" w:cs="黑体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9"/>
          <w:szCs w:val="39"/>
          <w:shd w:val="clear" w:color="auto" w:fill="FFFFFF"/>
          <w:lang w:val="en-US" w:eastAsia="zh-CN" w:bidi="ar-SA"/>
        </w:rPr>
        <w:t>暑期实习公告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119" w:right="119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中国工商银行海南省分行是隶属于中国工商银行的一级分行，也是中国工商银行助力海南自贸港建设国家战略实施的省级分行。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截至2022年末，分行共有从业人员2640人、分支机构20家、营业网点120家，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遍布包括三沙在内的全省19个市县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业务涵盖存贷汇、个人理财、银行卡、外汇买卖、现金管理、企业年金、资产托管、贵金属、投资银行等，为全省近13万公司客户和500多万个人客户提供优质高效的金融服务。总资产、营业收入、存贷款规模以及品牌价值等核心指标在同业中保持领先优势，在落实国家货币政策、服务区域经济发展、维护区域金融稳定中发挥着积极作用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left"/>
        <w:rPr>
          <w:rFonts w:hint="eastAsia" w:ascii="仿宋_GB2312" w:cs="仿宋_GB2312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海南工行始终坚守金融企业的初心和使命，深度融入地方经济建设，与海南经济社会发展同呼吸共命运。尤其是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习近平总书记“4.13”讲话以来，该行积极服务海南自贸区（港）建设，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围绕“十四五”规划和海南省“3+1”产业等重点领域，累计投放各项贷款1500多亿元，基础设施、制造业、普惠、战新、科创、跨境、涉农、绿色等领域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贷款保持较快增长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积极参与海南自贸港投资基金及其子基金的设立，连续两年成为消博会重要合作伙伴，是亚洲沙滩运动会高级合作伙伴。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“首单”业务创新走在同业前面，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/>
        </w:rPr>
        <w:t>REITs、ABS等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多笔业务入选自贸港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/>
        </w:rPr>
        <w:t>制度集成创新案例</w:t>
      </w: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。积极落实助力稳定宏观经济大盘工作部署，严格执行延期还本付息、减费让利等政策，帮助受困企业恢复发展。业内率先引进流动银行车，成立“大行工匠”工作室和“金融消保示范网点”，客户满意度和品牌影响力持续提升。积极配合监管开展大户风险化解，不良率同业最优。全力做好消费者权益保护工作，深入开展电信网络诈骗和跨境赌博“资金链”专项治理，为维护区域金融稳定作出了积极贡献。</w:t>
      </w:r>
      <w:r>
        <w:rPr>
          <w:rFonts w:hint="eastAsia" w:ascii="仿宋_GB2312" w:cs="仿宋_GB2312"/>
          <w:spacing w:val="0"/>
          <w:kern w:val="2"/>
          <w:sz w:val="32"/>
          <w:szCs w:val="32"/>
          <w:lang w:val="en-US" w:eastAsia="zh-CN" w:bidi="ar"/>
        </w:rPr>
        <w:t xml:space="preserve">   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left"/>
        <w:rPr>
          <w:rFonts w:ascii="黑体" w:hAnsi="黑体" w:eastAsia="黑体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val="en-US" w:eastAsia="zh-CN" w:bidi="ar-SA"/>
        </w:rPr>
        <w:t>一、实习机构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left"/>
        <w:rPr>
          <w:rFonts w:hint="eastAsia" w:ascii="仿宋_GB2312" w:hAnsi="仿宋_GB2312" w:cs="仿宋_GB2312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中国工商银行</w:t>
      </w:r>
      <w:r>
        <w:rPr>
          <w:rFonts w:hint="eastAsia" w:ascii="仿宋_GB2312" w:hAnsi="仿宋_GB2312" w:cs="仿宋_GB2312"/>
          <w:kern w:val="0"/>
          <w:sz w:val="32"/>
          <w:szCs w:val="32"/>
          <w:u w:val="none"/>
          <w:lang w:val="en-US" w:eastAsia="zh-CN" w:bidi="ar-SA"/>
        </w:rPr>
        <w:t>海南省分行。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left"/>
        <w:rPr>
          <w:rFonts w:ascii="黑体" w:hAnsi="黑体" w:eastAsia="黑体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val="en-US" w:eastAsia="zh-CN" w:bidi="ar-SA"/>
        </w:rPr>
        <w:t>二、实习对象</w:t>
      </w:r>
    </w:p>
    <w:p>
      <w:pPr>
        <w:widowControl/>
        <w:shd w:val="clear" w:color="auto" w:fill="FFFFFF"/>
        <w:spacing w:after="0" w:line="590" w:lineRule="exact"/>
        <w:ind w:firstLine="645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境内外高校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4年应届毕业的在校生（含本科、硕士、博士研究生），专业不限。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left"/>
        <w:rPr>
          <w:rFonts w:ascii="黑体" w:hAnsi="黑体" w:eastAsia="黑体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val="en-US" w:eastAsia="zh-CN" w:bidi="ar-SA"/>
        </w:rPr>
        <w:t>三、实习条件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（一）政治素质好。深刻领悟“两个确立”的决定性意义，增强“四个意识”，坚定“四个自信”，做到“两个维护”。热爱祖国，认真贯彻执行党和国家的路线、方针和政策。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诚实守信，遵纪守法，品行端正；综合素质较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，具有较强的学习能力、沟通能力和团队合作精神；具有良好的心理素质和身体素质。</w:t>
      </w:r>
    </w:p>
    <w:p>
      <w:pPr>
        <w:widowControl/>
        <w:shd w:val="clear" w:color="auto" w:fill="FFFFFF"/>
        <w:spacing w:after="0" w:line="590" w:lineRule="exact"/>
        <w:ind w:firstLine="645" w:firstLine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）学历及相关要求。具有大学本科及以上学历，境内高校在校生应为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24年应届毕业生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境外院校留学人员能够在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24年内从境外院校毕业并获得相应证书，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取得教育部学历（学位）认证。学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成绩优秀，无不合格科目。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left"/>
        <w:rPr>
          <w:rFonts w:ascii="黑体" w:hAnsi="黑体" w:eastAsia="黑体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val="en-US" w:eastAsia="zh-CN" w:bidi="ar-SA"/>
        </w:rPr>
        <w:t>四、实习时间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3年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7月-8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月。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ascii="黑体" w:hAnsi="黑体" w:eastAsia="黑体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val="en-US" w:eastAsia="zh-CN" w:bidi="ar-SA"/>
        </w:rPr>
        <w:t>五、实习地点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海口、三亚城区支行。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left"/>
        <w:rPr>
          <w:rFonts w:ascii="黑体" w:hAnsi="黑体" w:eastAsia="黑体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val="en-US" w:eastAsia="zh-CN" w:bidi="ar-SA"/>
        </w:rPr>
        <w:t>六、实习安排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年星令营暑期实习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以线下岗位实习为主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并同步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开展课程学习、课题研究等活动。实习机构将结合工作实际确定实习具体内容，并根据实习生积分情况评选“优秀实习生”。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“优秀实习生”可直通入围202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年度秋季校园招聘统一笔试，笔试通过后可免除面试环节，直接与所在实习机构签订相关就业协议。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left"/>
        <w:rPr>
          <w:rFonts w:ascii="黑体" w:hAnsi="黑体" w:eastAsia="黑体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val="en-US" w:eastAsia="zh-CN" w:bidi="ar-SA"/>
        </w:rPr>
        <w:t>七、实习报名与选拔程序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（一）网上报名（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年6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6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日-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6月2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日）。请注册并登录我行人才招聘官方网站（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https://job.icbc.com.cn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），点击“实习生招聘”栏目，或关注“中国工商银行人才招聘”微信公众号，点击“我要应聘”栏目，在线填写个人简历，完成报名申请。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（二）资格审查与测评考查（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6月下旬）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。各机构根据相关条件对申请者进行资格审查与测评考查，择优确定实习人选。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val="en-US" w:eastAsia="zh-CN" w:bidi="ar-SA"/>
        </w:rPr>
        <w:t>八、注意事项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（一）本次实习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每位申请者只能申请报名一家实习机构。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各机构实习具体信息，可在我行人才招聘官方网站（https://job.icbc.com.cn）进行查询浏览。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（二）本次实习可通过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PC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端或手机移动端进行线上报名申请，不接受其他形式的报名。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（三）我行将通过招聘系统站内信、手机短信或电子邮件等方式与申请人联系，请保持通信畅通。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（四）申请人应对申请资料信息的真实性负责。如与事实不符，我行有权取消其申请资格，解除相关协议约定。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（五）了解更多招聘讯息及相关动态，敬请关注“中国工商银行人才招聘”微信公众号。</w:t>
      </w:r>
    </w:p>
    <w:p>
      <w:pPr>
        <w:widowControl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（六）我行有权根据需求变化以及报名情况等因素，调整、取消或终止相关实习计划，并对本次实习享有最终解释权。</w:t>
      </w:r>
    </w:p>
    <w:p>
      <w:pPr>
        <w:widowControl/>
        <w:shd w:val="clear" w:color="auto" w:fill="FFFFFF"/>
        <w:spacing w:after="0" w:line="590" w:lineRule="exact"/>
        <w:ind w:left="420" w:right="640"/>
        <w:jc w:val="right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ind w:left="0" w:leftChars="0" w:firstLine="0" w:firstLineChars="0"/>
      </w:pPr>
    </w:p>
    <w:sectPr>
      <w:footerReference r:id="rId5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YaHei">
    <w:altName w:val="Cambri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等线" w:hAnsi="等线" w:eastAsia="等线" w:cs="黑体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fldChar w:fldCharType="begin"/>
    </w: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instrText xml:space="preserve">PAGE   \* MERGEFORMAT</w:instrText>
    </w: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fldChar w:fldCharType="separate"/>
    </w: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t>2</w:t>
    </w: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黑体"/>
        <w:kern w:val="2"/>
        <w:sz w:val="18"/>
        <w:szCs w:val="18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70540"/>
    <w:rsid w:val="022308AF"/>
    <w:rsid w:val="03B659B7"/>
    <w:rsid w:val="0AD46030"/>
    <w:rsid w:val="0C8C1B7D"/>
    <w:rsid w:val="0EFF6632"/>
    <w:rsid w:val="1A3E1C1D"/>
    <w:rsid w:val="1D335019"/>
    <w:rsid w:val="1E157FE5"/>
    <w:rsid w:val="1E264345"/>
    <w:rsid w:val="22E41650"/>
    <w:rsid w:val="27341342"/>
    <w:rsid w:val="27992042"/>
    <w:rsid w:val="2EC111CB"/>
    <w:rsid w:val="326E4D8B"/>
    <w:rsid w:val="32CD1B1E"/>
    <w:rsid w:val="34167D8F"/>
    <w:rsid w:val="37832197"/>
    <w:rsid w:val="3AE1306B"/>
    <w:rsid w:val="3D31569D"/>
    <w:rsid w:val="41230AC3"/>
    <w:rsid w:val="464F0734"/>
    <w:rsid w:val="49084AC3"/>
    <w:rsid w:val="49111925"/>
    <w:rsid w:val="49442231"/>
    <w:rsid w:val="4A6A6C0F"/>
    <w:rsid w:val="4BF43765"/>
    <w:rsid w:val="4E5F4605"/>
    <w:rsid w:val="4ECA5A9F"/>
    <w:rsid w:val="4EE85014"/>
    <w:rsid w:val="51CB6698"/>
    <w:rsid w:val="52D70644"/>
    <w:rsid w:val="5CCD413C"/>
    <w:rsid w:val="5DAE46FA"/>
    <w:rsid w:val="5DD70540"/>
    <w:rsid w:val="619846EA"/>
    <w:rsid w:val="61D168A7"/>
    <w:rsid w:val="67E70E20"/>
    <w:rsid w:val="6DC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0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0" w:lineRule="exact"/>
      <w:outlineLvl w:val="0"/>
    </w:pPr>
    <w:rPr>
      <w:rFonts w:ascii="黑体" w:hAnsi="黑体" w:eastAsia="黑体" w:cstheme="minorBidi"/>
      <w:kern w:val="44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0" w:lineRule="exact"/>
      <w:outlineLvl w:val="1"/>
    </w:pPr>
    <w:rPr>
      <w:rFonts w:ascii="楷体_GB2312" w:hAnsi="楷体_GB2312" w:eastAsia="楷体_GB2312" w:cstheme="minorBidi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2023-05-23T00:32:00Z</dcterms:created>
  <dc:creator>王建鑫</dc:creator>
  <cp:lastModifiedBy>陈小敏</cp:lastModifiedBy>
  <dcterms:modified xsi:type="dcterms:W3CDTF">2023-06-02T06:46:37Z</dcterms:modified>
  <dc:title>中国工商银行      2023年星令营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2052-11.8.2.11062</vt:lpwstr>
  </property>
  <property fmtid="{D5CDD505-2E9C-101B-9397-08002B2CF9AE}" pid="3" name="ICV">
    <vt:lpwstr>BCDE78B657A14A189458F9FA1BF89556</vt:lpwstr>
  </property>
</Properties>
</file>