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
          <w:bCs/>
          <w:sz w:val="32"/>
          <w:szCs w:val="36"/>
        </w:rPr>
      </w:pPr>
      <w:r>
        <w:rPr>
          <w:rFonts w:hint="eastAsia" w:ascii="黑体" w:hAnsi="黑体" w:eastAsia="黑体"/>
          <w:bCs/>
          <w:sz w:val="32"/>
          <w:szCs w:val="36"/>
        </w:rPr>
        <w:t>附件</w:t>
      </w:r>
      <w:r>
        <w:rPr>
          <w:rFonts w:ascii="黑体" w:hAnsi="黑体" w:eastAsia="黑体"/>
          <w:bCs/>
          <w:sz w:val="32"/>
          <w:szCs w:val="36"/>
        </w:rPr>
        <w:t>1</w:t>
      </w:r>
      <w:r>
        <w:rPr>
          <w:rFonts w:hint="eastAsia" w:ascii="黑体" w:hAnsi="黑体" w:eastAsia="黑体"/>
          <w:bCs/>
          <w:sz w:val="32"/>
          <w:szCs w:val="36"/>
        </w:rPr>
        <w:t>：</w:t>
      </w:r>
    </w:p>
    <w:p>
      <w:pPr>
        <w:pStyle w:val="10"/>
        <w:adjustRightInd w:val="0"/>
        <w:spacing w:line="700" w:lineRule="exact"/>
        <w:contextualSpacing w:val="0"/>
        <w:jc w:val="center"/>
        <w:rPr>
          <w:rFonts w:ascii="方正小标宋简体" w:eastAsia="方正小标宋简体"/>
          <w:b w:val="0"/>
          <w:bCs/>
          <w:color w:val="auto"/>
          <w:sz w:val="44"/>
          <w:szCs w:val="44"/>
        </w:rPr>
      </w:pPr>
      <w:r>
        <w:rPr>
          <w:rFonts w:hint="eastAsia" w:ascii="方正小标宋简体" w:eastAsia="方正小标宋简体"/>
          <w:b w:val="0"/>
          <w:bCs/>
          <w:color w:val="auto"/>
          <w:sz w:val="44"/>
          <w:szCs w:val="44"/>
        </w:rPr>
        <w:t>蒙商银行股份有限公司</w:t>
      </w:r>
    </w:p>
    <w:p>
      <w:pPr>
        <w:adjustRightInd w:val="0"/>
        <w:snapToGrid w:val="0"/>
        <w:spacing w:line="700" w:lineRule="exact"/>
        <w:jc w:val="center"/>
        <w:rPr>
          <w:rFonts w:ascii="方正小标宋简体" w:eastAsia="方正小标宋简体"/>
          <w:bCs/>
          <w:sz w:val="44"/>
          <w:szCs w:val="44"/>
          <w:lang w:val="en-GB"/>
        </w:rPr>
      </w:pPr>
      <w:r>
        <w:rPr>
          <w:rFonts w:hint="eastAsia" w:ascii="方正小标宋简体" w:eastAsia="方正小标宋简体"/>
          <w:bCs/>
          <w:sz w:val="44"/>
          <w:szCs w:val="44"/>
          <w:lang w:val="en-GB"/>
        </w:rPr>
        <w:t>市场化选聘总行副行长职位说明书</w:t>
      </w:r>
    </w:p>
    <w:tbl>
      <w:tblPr>
        <w:tblStyle w:val="6"/>
        <w:tblW w:w="8497"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Layout w:type="fixed"/>
        <w:tblCellMar>
          <w:top w:w="0" w:type="dxa"/>
          <w:left w:w="0" w:type="dxa"/>
          <w:bottom w:w="0" w:type="dxa"/>
          <w:right w:w="0" w:type="dxa"/>
        </w:tblCellMar>
      </w:tblPr>
      <w:tblGrid>
        <w:gridCol w:w="1501"/>
        <w:gridCol w:w="69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785" w:hRule="atLeast"/>
        </w:trPr>
        <w:tc>
          <w:tcPr>
            <w:tcW w:w="1501" w:type="dxa"/>
            <w:tcBorders>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企业名称</w:t>
            </w:r>
          </w:p>
        </w:tc>
        <w:tc>
          <w:tcPr>
            <w:tcW w:w="6996" w:type="dxa"/>
            <w:tcBorders>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both"/>
              <w:rPr>
                <w:rFonts w:ascii="仿宋_GB2312" w:eastAsia="仿宋_GB2312"/>
                <w:sz w:val="28"/>
                <w:szCs w:val="28"/>
              </w:rPr>
            </w:pPr>
            <w:r>
              <w:rPr>
                <w:rFonts w:hint="eastAsia" w:ascii="仿宋_GB2312" w:hAnsi="仿宋" w:eastAsia="仿宋_GB2312" w:cs="仿宋"/>
                <w:sz w:val="28"/>
                <w:szCs w:val="28"/>
              </w:rPr>
              <w:t>蒙商银行股份有限公司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97"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选聘职位</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both"/>
              <w:rPr>
                <w:rFonts w:ascii="仿宋_GB2312" w:eastAsia="仿宋_GB2312"/>
                <w:sz w:val="28"/>
                <w:szCs w:val="28"/>
              </w:rPr>
            </w:pPr>
            <w:r>
              <w:rPr>
                <w:rFonts w:hint="eastAsia" w:ascii="仿宋_GB2312" w:hAnsi="仿宋" w:eastAsia="仿宋_GB2312" w:cs="仿宋"/>
                <w:sz w:val="28"/>
                <w:szCs w:val="28"/>
              </w:rPr>
              <w:t>蒙商银行股份有限公司总行副行长</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5139"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职位职责</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（一）贯彻落实全行中长期发展战略，协助行长工作并参与总行经营管理事项决策；</w:t>
            </w:r>
          </w:p>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（二）根据本行中长期发展战略及年度经营目标，组织制定和落实年度经营计划和任务目标，指导资金板块业务、投行业务、信用卡业务、数字银行业务等某一或多个领域的工作；</w:t>
            </w:r>
          </w:p>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（三）在授权范围内，统筹分管部门的具体经营管理事宜，组织制定和实施分管领域发展策略及工作计划，推动分管领域业务发展和管理完善；</w:t>
            </w:r>
          </w:p>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（四）组织开展业务产品创新，制定符合本行业务要求的市场营销计划，实现业务上的创新发展；</w:t>
            </w:r>
          </w:p>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（五）履行“一岗双责”，防范化解金融风险。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90"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资格条件</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（一）基本条件</w:t>
            </w:r>
          </w:p>
          <w:p>
            <w:pPr>
              <w:pStyle w:val="4"/>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1.具有良好的政治素质。政治立场坚定，坚决拥护中国共产党的领导，认真贯彻习近平新时代中国特色社会主义思想和习近平总书记在内蒙古考察期间的重要指示重要讲话精神，在思想上政治上行动上同以习近平同志为核心的党中央保持高度一致，增强“四个意识”、坚定“四个自信”、做到“两个维护”</w:t>
            </w:r>
            <w:r>
              <w:rPr>
                <w:rFonts w:ascii="仿宋_GB2312" w:hAnsi="仿宋" w:eastAsia="仿宋_GB2312" w:cs="仿宋"/>
                <w:kern w:val="0"/>
                <w:sz w:val="28"/>
                <w:szCs w:val="28"/>
              </w:rPr>
              <w:t>、拥护“两个确立”</w:t>
            </w:r>
            <w:r>
              <w:rPr>
                <w:rFonts w:hint="eastAsia" w:ascii="仿宋_GB2312" w:hAnsi="仿宋" w:eastAsia="仿宋_GB2312" w:cs="仿宋"/>
                <w:kern w:val="0"/>
                <w:sz w:val="28"/>
                <w:szCs w:val="28"/>
              </w:rPr>
              <w:t>；</w:t>
            </w:r>
          </w:p>
          <w:p>
            <w:pPr>
              <w:pStyle w:val="4"/>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2.具有履行职责必需的业务知识；</w:t>
            </w:r>
          </w:p>
          <w:p>
            <w:pPr>
              <w:pStyle w:val="4"/>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3</w:t>
            </w:r>
            <w:r>
              <w:rPr>
                <w:rFonts w:ascii="仿宋_GB2312" w:hAnsi="仿宋" w:eastAsia="仿宋_GB2312" w:cs="仿宋"/>
                <w:kern w:val="0"/>
                <w:sz w:val="28"/>
                <w:szCs w:val="28"/>
              </w:rPr>
              <w:t>.</w:t>
            </w:r>
            <w:r>
              <w:rPr>
                <w:rFonts w:hint="eastAsia" w:ascii="仿宋_GB2312" w:hAnsi="仿宋" w:eastAsia="仿宋_GB2312" w:cs="仿宋"/>
                <w:kern w:val="0"/>
                <w:sz w:val="28"/>
                <w:szCs w:val="28"/>
              </w:rPr>
              <w:t>具有与职位匹配的任职经历和专业素养；</w:t>
            </w:r>
          </w:p>
          <w:p>
            <w:pPr>
              <w:pStyle w:val="4"/>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4</w:t>
            </w:r>
            <w:r>
              <w:rPr>
                <w:rFonts w:ascii="仿宋_GB2312" w:hAnsi="仿宋" w:eastAsia="仿宋_GB2312" w:cs="仿宋"/>
                <w:kern w:val="0"/>
                <w:sz w:val="28"/>
                <w:szCs w:val="28"/>
              </w:rPr>
              <w:t>.</w:t>
            </w:r>
            <w:r>
              <w:rPr>
                <w:rFonts w:hint="eastAsia" w:ascii="仿宋_GB2312" w:hAnsi="仿宋" w:eastAsia="仿宋_GB2312" w:cs="仿宋"/>
                <w:kern w:val="0"/>
                <w:sz w:val="28"/>
                <w:szCs w:val="28"/>
              </w:rPr>
              <w:t>具有良好的心理素质和正常履行职责的身体条件。</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（二）任职资格</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1．政治素质高，对党忠诚、勇于创新、治企有方、兴企有为、清正廉洁，具有良好的职业操守和道德品行；</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2．具备本科以上学历，从事金融工作6年以上，或从事相关经济工作10年以上（其中从事金融工作3年以上），专业素质过硬，熟悉商业银行的组织运作模式，熟悉国家经济、金融方针政策和银行监管政策及法律法规，具有丰富的职业经历和突出的经营业绩；</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3.年龄一般在5</w:t>
            </w:r>
            <w:r>
              <w:rPr>
                <w:rFonts w:ascii="仿宋_GB2312" w:hAnsi="仿宋" w:eastAsia="仿宋_GB2312" w:cs="仿宋"/>
                <w:kern w:val="0"/>
                <w:sz w:val="28"/>
                <w:szCs w:val="28"/>
              </w:rPr>
              <w:t>3</w:t>
            </w:r>
            <w:r>
              <w:rPr>
                <w:rFonts w:hint="eastAsia" w:ascii="仿宋_GB2312" w:hAnsi="仿宋" w:eastAsia="仿宋_GB2312" w:cs="仿宋"/>
                <w:kern w:val="0"/>
                <w:sz w:val="28"/>
                <w:szCs w:val="28"/>
              </w:rPr>
              <w:t>周岁以下</w:t>
            </w:r>
            <w:r>
              <w:rPr>
                <w:rFonts w:ascii="仿宋_GB2312" w:hAnsi="仿宋" w:eastAsia="仿宋_GB2312" w:cs="仿宋"/>
                <w:kern w:val="0"/>
                <w:sz w:val="28"/>
                <w:szCs w:val="28"/>
              </w:rPr>
              <w:t>(197</w:t>
            </w:r>
            <w:r>
              <w:rPr>
                <w:rFonts w:hint="eastAsia" w:ascii="仿宋_GB2312" w:hAnsi="仿宋" w:eastAsia="仿宋_GB2312" w:cs="仿宋"/>
                <w:kern w:val="0"/>
                <w:sz w:val="28"/>
                <w:szCs w:val="28"/>
              </w:rPr>
              <w:t>0</w:t>
            </w:r>
            <w:r>
              <w:rPr>
                <w:rFonts w:ascii="仿宋_GB2312" w:hAnsi="仿宋" w:eastAsia="仿宋_GB2312" w:cs="仿宋"/>
                <w:kern w:val="0"/>
                <w:sz w:val="28"/>
                <w:szCs w:val="28"/>
              </w:rPr>
              <w:t>年6月21日以后出生)</w:t>
            </w:r>
            <w:r>
              <w:rPr>
                <w:rFonts w:hint="eastAsia" w:ascii="仿宋_GB2312" w:hAnsi="仿宋" w:eastAsia="仿宋_GB2312" w:cs="仿宋"/>
                <w:kern w:val="0"/>
                <w:sz w:val="28"/>
                <w:szCs w:val="28"/>
              </w:rPr>
              <w:t>，特别优秀的可放宽两岁；</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4.现任国有商业银行、全国性股份制商业银行总行部门或省级分行副职满1年及以上；或省级城市商业银行、省级农村商业银行（农信联社）或上市城商行、农商行、资产规模在2</w:t>
            </w:r>
            <w:r>
              <w:rPr>
                <w:rFonts w:ascii="仿宋_GB2312" w:hAnsi="仿宋" w:eastAsia="仿宋_GB2312" w:cs="仿宋"/>
                <w:kern w:val="0"/>
                <w:sz w:val="28"/>
                <w:szCs w:val="28"/>
              </w:rPr>
              <w:t>000</w:t>
            </w:r>
            <w:r>
              <w:rPr>
                <w:rFonts w:hint="eastAsia" w:ascii="仿宋_GB2312" w:hAnsi="仿宋" w:eastAsia="仿宋_GB2312" w:cs="仿宋"/>
                <w:kern w:val="0"/>
                <w:sz w:val="28"/>
                <w:szCs w:val="28"/>
              </w:rPr>
              <w:t>亿及以上城商行、农商行总行高管满1年及以上；或累计担任下列职务3年及以上：行政事业单位县处级正职及以上职务领导人员，国有商业银行总行部门内设部室正职或省级分行内设部门正职或二级分行正职及以上职务，全国性股份制商业银行、省级城市商业银行、省级农村商业银行（农信联社）以及上市城商行、农商行总行部门正职</w:t>
            </w:r>
            <w:r>
              <w:rPr>
                <w:rFonts w:hint="eastAsia" w:ascii="仿宋_GB2312" w:hAnsi="仿宋" w:eastAsia="仿宋_GB2312" w:cs="仿宋"/>
                <w:kern w:val="0"/>
                <w:sz w:val="28"/>
                <w:szCs w:val="28"/>
                <w:u w:val="none"/>
              </w:rPr>
              <w:t>或同级分支机构正职</w:t>
            </w:r>
            <w:r>
              <w:rPr>
                <w:rFonts w:hint="eastAsia" w:ascii="仿宋_GB2312" w:hAnsi="仿宋" w:eastAsia="仿宋_GB2312" w:cs="仿宋"/>
                <w:kern w:val="0"/>
                <w:sz w:val="28"/>
                <w:szCs w:val="28"/>
              </w:rPr>
              <w:t>及以上职务；</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5</w:t>
            </w:r>
            <w:r>
              <w:rPr>
                <w:rFonts w:ascii="仿宋_GB2312" w:hAnsi="仿宋" w:eastAsia="仿宋_GB2312" w:cs="仿宋"/>
                <w:kern w:val="0"/>
                <w:sz w:val="28"/>
                <w:szCs w:val="28"/>
              </w:rPr>
              <w:t>.</w:t>
            </w:r>
            <w:r>
              <w:rPr>
                <w:rFonts w:hint="eastAsia" w:ascii="仿宋_GB2312" w:hAnsi="仿宋" w:eastAsia="仿宋_GB2312" w:cs="仿宋"/>
                <w:kern w:val="0"/>
                <w:sz w:val="28"/>
                <w:szCs w:val="28"/>
              </w:rPr>
              <w:t>近三年年度考核均为称职及以上等次；</w:t>
            </w:r>
          </w:p>
          <w:p>
            <w:pPr>
              <w:pStyle w:val="4"/>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6</w:t>
            </w:r>
            <w:r>
              <w:rPr>
                <w:rFonts w:ascii="仿宋_GB2312" w:hAnsi="仿宋" w:eastAsia="仿宋_GB2312" w:cs="仿宋"/>
                <w:kern w:val="0"/>
                <w:sz w:val="28"/>
                <w:szCs w:val="28"/>
              </w:rPr>
              <w:t>.</w:t>
            </w:r>
            <w:r>
              <w:rPr>
                <w:rFonts w:hint="eastAsia" w:ascii="仿宋_GB2312" w:hAnsi="仿宋" w:eastAsia="仿宋_GB2312" w:cs="仿宋"/>
                <w:kern w:val="0"/>
                <w:sz w:val="28"/>
                <w:szCs w:val="28"/>
              </w:rPr>
              <w:t>精通银行金融市场、资产管理、资产托管、投资银行、信用卡、数字银行等某一或多个领域，具有相关工作经历，在所在领域取得较好业绩</w:t>
            </w:r>
            <w:bookmarkStart w:id="0" w:name="_GoBack"/>
            <w:bookmarkEnd w:id="0"/>
            <w:r>
              <w:rPr>
                <w:rFonts w:hint="eastAsia" w:ascii="仿宋_GB2312" w:hAnsi="仿宋" w:eastAsia="仿宋_GB2312" w:cs="仿宋"/>
                <w:kern w:val="0"/>
                <w:sz w:val="28"/>
                <w:szCs w:val="28"/>
              </w:rPr>
              <w:t>；</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7</w:t>
            </w:r>
            <w:r>
              <w:rPr>
                <w:rFonts w:ascii="仿宋_GB2312" w:hAnsi="仿宋" w:eastAsia="仿宋_GB2312" w:cs="仿宋"/>
                <w:kern w:val="0"/>
                <w:sz w:val="28"/>
                <w:szCs w:val="28"/>
              </w:rPr>
              <w:t>.</w:t>
            </w:r>
            <w:r>
              <w:rPr>
                <w:rFonts w:hint="eastAsia" w:ascii="仿宋_GB2312" w:hAnsi="仿宋" w:eastAsia="仿宋_GB2312" w:cs="仿宋"/>
                <w:kern w:val="0"/>
                <w:sz w:val="28"/>
                <w:szCs w:val="28"/>
              </w:rPr>
              <w:t>符合有关法律法规和行业主管部门规定的其他任职资格要求；</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8</w:t>
            </w:r>
            <w:r>
              <w:rPr>
                <w:rFonts w:ascii="仿宋_GB2312" w:hAnsi="仿宋" w:eastAsia="仿宋_GB2312" w:cs="仿宋"/>
                <w:kern w:val="0"/>
                <w:sz w:val="28"/>
                <w:szCs w:val="28"/>
              </w:rPr>
              <w:t>.</w:t>
            </w:r>
            <w:r>
              <w:rPr>
                <w:rFonts w:hint="eastAsia" w:ascii="仿宋_GB2312" w:hAnsi="仿宋" w:eastAsia="仿宋_GB2312" w:cs="仿宋"/>
                <w:kern w:val="0"/>
                <w:sz w:val="28"/>
                <w:szCs w:val="28"/>
              </w:rPr>
              <w:t>无不良从业记录，</w:t>
            </w:r>
            <w:r>
              <w:rPr>
                <w:rFonts w:ascii="仿宋_GB2312" w:hAnsi="仿宋" w:eastAsia="仿宋_GB2312" w:cs="仿宋"/>
                <w:kern w:val="0"/>
                <w:sz w:val="28"/>
                <w:szCs w:val="28"/>
              </w:rPr>
              <w:t>符合</w:t>
            </w:r>
            <w:r>
              <w:rPr>
                <w:rFonts w:hint="eastAsia" w:ascii="仿宋_GB2312" w:hAnsi="仿宋" w:eastAsia="仿宋_GB2312" w:cs="仿宋"/>
                <w:kern w:val="0"/>
                <w:sz w:val="28"/>
                <w:szCs w:val="28"/>
              </w:rPr>
              <w:t>本行履职</w:t>
            </w:r>
            <w:r>
              <w:rPr>
                <w:rFonts w:ascii="仿宋_GB2312" w:hAnsi="仿宋" w:eastAsia="仿宋_GB2312" w:cs="仿宋"/>
                <w:kern w:val="0"/>
                <w:sz w:val="28"/>
                <w:szCs w:val="28"/>
              </w:rPr>
              <w:t>回避有关规定</w:t>
            </w:r>
            <w:r>
              <w:rPr>
                <w:rFonts w:hint="eastAsia" w:ascii="仿宋_GB2312" w:hAnsi="仿宋" w:eastAsia="仿宋_GB2312" w:cs="仿宋"/>
                <w:kern w:val="0"/>
                <w:sz w:val="28"/>
                <w:szCs w:val="28"/>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977"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rFonts w:ascii="黑体" w:hAnsi="黑体" w:eastAsia="黑体" w:cs="黑体"/>
                <w:sz w:val="28"/>
                <w:szCs w:val="28"/>
              </w:rPr>
            </w:pPr>
            <w:r>
              <w:rPr>
                <w:rFonts w:hint="eastAsia" w:ascii="黑体" w:hAnsi="黑体" w:eastAsia="黑体" w:cs="黑体"/>
                <w:sz w:val="28"/>
                <w:szCs w:val="28"/>
              </w:rPr>
              <w:t>经营目标</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60" w:lineRule="exact"/>
              <w:jc w:val="both"/>
              <w:rPr>
                <w:rFonts w:ascii="仿宋_GB2312" w:hAnsi="仿宋" w:eastAsia="仿宋_GB2312" w:cs="仿宋"/>
                <w:sz w:val="28"/>
                <w:szCs w:val="28"/>
              </w:rPr>
            </w:pPr>
            <w:r>
              <w:rPr>
                <w:rFonts w:hint="eastAsia" w:ascii="仿宋_GB2312" w:hAnsi="仿宋" w:eastAsia="仿宋_GB2312" w:cs="仿宋"/>
                <w:sz w:val="28"/>
                <w:szCs w:val="28"/>
              </w:rPr>
              <w:t>带领分管部门超额完成年度经营计划目标，具体经营目标以每年实际签订的《业绩考核目标责任书》为准。</w:t>
            </w:r>
          </w:p>
        </w:tc>
      </w:tr>
    </w:tbl>
    <w:p>
      <w:pPr>
        <w:widowControl/>
        <w:jc w:val="left"/>
        <w:rPr>
          <w:rFonts w:ascii="仿宋_GB2312" w:hAnsi="黑体" w:eastAsia="仿宋_GB2312"/>
          <w:bCs/>
          <w:sz w:val="32"/>
          <w:szCs w:val="32"/>
        </w:rPr>
      </w:pPr>
      <w:r>
        <w:rPr>
          <w:rFonts w:hint="eastAsia" w:ascii="仿宋_GB2312" w:hAnsi="黑体" w:eastAsia="仿宋_GB2312"/>
          <w:b/>
          <w:bCs/>
          <w:sz w:val="32"/>
          <w:szCs w:val="32"/>
        </w:rPr>
        <w:br w:type="page"/>
      </w:r>
    </w:p>
    <w:p>
      <w:pPr>
        <w:pStyle w:val="10"/>
        <w:adjustRightInd w:val="0"/>
        <w:spacing w:line="700" w:lineRule="exact"/>
        <w:contextualSpacing w:val="0"/>
        <w:jc w:val="center"/>
        <w:rPr>
          <w:rFonts w:ascii="方正小标宋简体" w:eastAsia="方正小标宋简体"/>
          <w:b w:val="0"/>
          <w:bCs/>
          <w:color w:val="auto"/>
          <w:sz w:val="44"/>
          <w:szCs w:val="44"/>
        </w:rPr>
      </w:pPr>
      <w:r>
        <w:rPr>
          <w:rFonts w:hint="eastAsia" w:ascii="方正小标宋简体" w:eastAsia="方正小标宋简体"/>
          <w:b w:val="0"/>
          <w:bCs/>
          <w:color w:val="auto"/>
          <w:sz w:val="44"/>
          <w:szCs w:val="44"/>
        </w:rPr>
        <w:t>市场化选聘内蒙古蒙商消费金融股份有限公司总经理职位说明书</w:t>
      </w:r>
    </w:p>
    <w:tbl>
      <w:tblPr>
        <w:tblStyle w:val="6"/>
        <w:tblW w:w="8497"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Layout w:type="fixed"/>
        <w:tblCellMar>
          <w:top w:w="0" w:type="dxa"/>
          <w:left w:w="0" w:type="dxa"/>
          <w:bottom w:w="0" w:type="dxa"/>
          <w:right w:w="0" w:type="dxa"/>
        </w:tblCellMar>
      </w:tblPr>
      <w:tblGrid>
        <w:gridCol w:w="1501"/>
        <w:gridCol w:w="699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785" w:hRule="atLeast"/>
        </w:trPr>
        <w:tc>
          <w:tcPr>
            <w:tcW w:w="1501" w:type="dxa"/>
            <w:tcBorders>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企业名称</w:t>
            </w:r>
          </w:p>
        </w:tc>
        <w:tc>
          <w:tcPr>
            <w:tcW w:w="6996" w:type="dxa"/>
            <w:tcBorders>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both"/>
              <w:rPr>
                <w:rFonts w:ascii="仿宋_GB2312" w:eastAsia="仿宋_GB2312"/>
                <w:sz w:val="28"/>
                <w:szCs w:val="28"/>
              </w:rPr>
            </w:pPr>
            <w:r>
              <w:rPr>
                <w:rFonts w:hint="eastAsia" w:ascii="仿宋_GB2312" w:hAnsi="仿宋" w:eastAsia="仿宋_GB2312" w:cs="仿宋"/>
                <w:sz w:val="28"/>
                <w:szCs w:val="28"/>
              </w:rPr>
              <w:t>蒙商银行股份有限公司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797"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选聘职位</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both"/>
              <w:rPr>
                <w:rFonts w:ascii="仿宋_GB2312" w:eastAsia="仿宋_GB2312"/>
                <w:sz w:val="28"/>
                <w:szCs w:val="28"/>
              </w:rPr>
            </w:pPr>
            <w:r>
              <w:rPr>
                <w:rFonts w:hint="eastAsia" w:ascii="仿宋_GB2312" w:hAnsi="仿宋" w:eastAsia="仿宋_GB2312" w:cs="仿宋"/>
                <w:sz w:val="28"/>
                <w:szCs w:val="28"/>
              </w:rPr>
              <w:t>内蒙古蒙商消费金融股份有限公司总经理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76"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职位职责</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（一）向董事会负责，全面组织实施董事会的有关决议和规定，全面完成董事会下达的各项指标，并将实施情况向董事会汇报。</w:t>
            </w:r>
          </w:p>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（二）在董事会授权范围内，建立公司的经营管理体系并组织实施和改进，并根据市场变化，及时调整经营方针。</w:t>
            </w:r>
          </w:p>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（三）主持公司的日常各项经营管理工作，组织实施公司年度经营计划，实现公司经营管理目标和发展目标。</w:t>
            </w:r>
          </w:p>
          <w:p>
            <w:pPr>
              <w:pStyle w:val="5"/>
              <w:widowControl/>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（四）建立健全经营管理制度、流程管控及风险控制体系，监督检查执行情况，确保企业合规运行。</w:t>
            </w:r>
          </w:p>
          <w:p>
            <w:pPr>
              <w:pStyle w:val="5"/>
              <w:widowControl/>
              <w:spacing w:beforeAutospacing="0" w:afterAutospacing="0" w:line="360" w:lineRule="exact"/>
              <w:rPr>
                <w:rFonts w:ascii="宋体" w:hAnsi="宋体" w:eastAsia="宋体" w:cs="Arial"/>
                <w:sz w:val="20"/>
              </w:rPr>
            </w:pPr>
            <w:r>
              <w:rPr>
                <w:rFonts w:hint="eastAsia" w:ascii="仿宋_GB2312" w:hAnsi="仿宋" w:eastAsia="仿宋_GB2312" w:cs="仿宋"/>
                <w:sz w:val="28"/>
                <w:szCs w:val="28"/>
              </w:rPr>
              <w:t>（五）负责召集和主持公司总经理办公会议，协调、检查和督促各部门的工作。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DFEFF"/>
          <w:tblCellMar>
            <w:top w:w="0" w:type="dxa"/>
            <w:left w:w="0" w:type="dxa"/>
            <w:bottom w:w="0" w:type="dxa"/>
            <w:right w:w="0" w:type="dxa"/>
          </w:tblCellMar>
        </w:tblPrEx>
        <w:trPr>
          <w:trHeight w:val="90"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sz w:val="22"/>
                <w:szCs w:val="22"/>
              </w:rPr>
            </w:pPr>
            <w:r>
              <w:rPr>
                <w:rFonts w:hint="eastAsia" w:ascii="黑体" w:hAnsi="黑体" w:eastAsia="黑体" w:cs="黑体"/>
                <w:sz w:val="28"/>
                <w:szCs w:val="28"/>
              </w:rPr>
              <w:t>资格条件</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adjustRightInd w:val="0"/>
              <w:snapToGrid w:val="0"/>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（一）基本条件</w:t>
            </w:r>
          </w:p>
          <w:p>
            <w:pPr>
              <w:pStyle w:val="4"/>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1.具有良好的政治素质。政治立场坚定，坚决拥护中国共产党的领导，能够认真学习贯彻习近平新时代中国特色社会主义思想和习近平总书记在内蒙古考察期间的重要指示重要讲话精神，在思想上政治上行动上同以习近平同志为核心的党中央保持高度一致，拥护“两个确立”、增强“四个意识”、坚定“四个自信”、做到“两个维护”；</w:t>
            </w:r>
          </w:p>
          <w:p>
            <w:pPr>
              <w:pStyle w:val="5"/>
              <w:widowControl/>
              <w:adjustRightInd w:val="0"/>
              <w:snapToGrid w:val="0"/>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2.具有履行职责必需的业务知识；</w:t>
            </w:r>
          </w:p>
          <w:p>
            <w:pPr>
              <w:pStyle w:val="5"/>
              <w:widowControl/>
              <w:adjustRightInd w:val="0"/>
              <w:snapToGrid w:val="0"/>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3</w:t>
            </w:r>
            <w:r>
              <w:rPr>
                <w:rFonts w:ascii="仿宋_GB2312" w:hAnsi="仿宋" w:eastAsia="仿宋_GB2312" w:cs="仿宋"/>
                <w:sz w:val="28"/>
                <w:szCs w:val="28"/>
              </w:rPr>
              <w:t>.</w:t>
            </w:r>
            <w:r>
              <w:rPr>
                <w:rFonts w:hint="eastAsia" w:ascii="仿宋_GB2312" w:hAnsi="仿宋" w:eastAsia="仿宋_GB2312" w:cs="仿宋"/>
                <w:sz w:val="28"/>
                <w:szCs w:val="28"/>
              </w:rPr>
              <w:t>具有与职位匹配的任职经历和专业素养；</w:t>
            </w:r>
          </w:p>
          <w:p>
            <w:pPr>
              <w:pStyle w:val="5"/>
              <w:widowControl/>
              <w:adjustRightInd w:val="0"/>
              <w:snapToGrid w:val="0"/>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4</w:t>
            </w:r>
            <w:r>
              <w:rPr>
                <w:rFonts w:ascii="仿宋_GB2312" w:hAnsi="仿宋" w:eastAsia="仿宋_GB2312" w:cs="仿宋"/>
                <w:sz w:val="28"/>
                <w:szCs w:val="28"/>
              </w:rPr>
              <w:t>.</w:t>
            </w:r>
            <w:r>
              <w:rPr>
                <w:rFonts w:hint="eastAsia" w:ascii="仿宋_GB2312" w:hAnsi="仿宋" w:eastAsia="仿宋_GB2312" w:cs="仿宋"/>
                <w:sz w:val="28"/>
                <w:szCs w:val="28"/>
              </w:rPr>
              <w:t>具有良好的心理素质和正常履行职责的身体条件。</w:t>
            </w:r>
          </w:p>
          <w:p>
            <w:pPr>
              <w:pStyle w:val="5"/>
              <w:widowControl/>
              <w:adjustRightInd w:val="0"/>
              <w:snapToGrid w:val="0"/>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（二）任职资格</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1</w:t>
            </w:r>
            <w:r>
              <w:rPr>
                <w:rFonts w:ascii="仿宋_GB2312" w:hAnsi="仿宋" w:eastAsia="仿宋_GB2312" w:cs="仿宋"/>
                <w:kern w:val="0"/>
                <w:sz w:val="28"/>
                <w:szCs w:val="28"/>
              </w:rPr>
              <w:t>.</w:t>
            </w:r>
            <w:r>
              <w:rPr>
                <w:rFonts w:hint="eastAsia" w:ascii="仿宋_GB2312" w:hAnsi="仿宋" w:eastAsia="仿宋_GB2312" w:cs="仿宋"/>
                <w:kern w:val="0"/>
                <w:sz w:val="28"/>
                <w:szCs w:val="28"/>
              </w:rPr>
              <w:t>具备本科以上学历，从事金融工作5年以上，或从事与消费金融相关领域工作10年以上。现任或曾任业内领先的互联网银行、消费金融公司高级管理人员；现任或曾任全国性非银金融机构总部分管零售金融、消费金融等相关业务副</w:t>
            </w:r>
            <w:r>
              <w:rPr>
                <w:rFonts w:ascii="仿宋_GB2312" w:hAnsi="仿宋" w:eastAsia="仿宋_GB2312" w:cs="仿宋"/>
                <w:kern w:val="0"/>
                <w:sz w:val="28"/>
                <w:szCs w:val="28"/>
              </w:rPr>
              <w:t>职及以上职务</w:t>
            </w:r>
            <w:r>
              <w:rPr>
                <w:rFonts w:hint="eastAsia" w:ascii="仿宋_GB2312" w:hAnsi="仿宋" w:eastAsia="仿宋_GB2312" w:cs="仿宋"/>
                <w:kern w:val="0"/>
                <w:sz w:val="28"/>
                <w:szCs w:val="28"/>
              </w:rPr>
              <w:t>管理</w:t>
            </w:r>
            <w:r>
              <w:rPr>
                <w:rFonts w:ascii="仿宋_GB2312" w:hAnsi="仿宋" w:eastAsia="仿宋_GB2312" w:cs="仿宋"/>
                <w:kern w:val="0"/>
                <w:sz w:val="28"/>
                <w:szCs w:val="28"/>
              </w:rPr>
              <w:t>人员</w:t>
            </w:r>
            <w:r>
              <w:rPr>
                <w:rFonts w:hint="eastAsia" w:ascii="仿宋_GB2312" w:hAnsi="仿宋" w:eastAsia="仿宋_GB2312" w:cs="仿宋"/>
                <w:kern w:val="0"/>
                <w:sz w:val="28"/>
                <w:szCs w:val="28"/>
              </w:rPr>
              <w:t>；现任国有商业银行、全国性股份制商业银行省级分行零售业务部门正职及以上职务，省级城市商业银行、省级农村商业银行（农信联社）以及上市城商行、农商行总行零售业务部门正职及以上职务；</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2.年龄一般在50周岁以下</w:t>
            </w:r>
            <w:r>
              <w:rPr>
                <w:rFonts w:ascii="仿宋_GB2312" w:hAnsi="仿宋" w:eastAsia="仿宋_GB2312" w:cs="仿宋"/>
                <w:kern w:val="0"/>
                <w:sz w:val="28"/>
                <w:szCs w:val="28"/>
              </w:rPr>
              <w:t>(197</w:t>
            </w:r>
            <w:r>
              <w:rPr>
                <w:rFonts w:hint="eastAsia" w:ascii="仿宋_GB2312" w:hAnsi="仿宋" w:eastAsia="仿宋_GB2312" w:cs="仿宋"/>
                <w:kern w:val="0"/>
                <w:sz w:val="28"/>
                <w:szCs w:val="28"/>
              </w:rPr>
              <w:t>3</w:t>
            </w:r>
            <w:r>
              <w:rPr>
                <w:rFonts w:ascii="仿宋_GB2312" w:hAnsi="仿宋" w:eastAsia="仿宋_GB2312" w:cs="仿宋"/>
                <w:kern w:val="0"/>
                <w:sz w:val="28"/>
                <w:szCs w:val="28"/>
              </w:rPr>
              <w:t>年6月21日以后出生)</w:t>
            </w:r>
            <w:r>
              <w:rPr>
                <w:rFonts w:hint="eastAsia" w:ascii="仿宋_GB2312" w:hAnsi="仿宋" w:eastAsia="仿宋_GB2312" w:cs="仿宋"/>
                <w:kern w:val="0"/>
                <w:sz w:val="28"/>
                <w:szCs w:val="28"/>
              </w:rPr>
              <w:t>；</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3</w:t>
            </w:r>
            <w:r>
              <w:rPr>
                <w:rFonts w:ascii="仿宋_GB2312" w:hAnsi="仿宋" w:eastAsia="仿宋_GB2312" w:cs="仿宋"/>
                <w:kern w:val="0"/>
                <w:sz w:val="28"/>
                <w:szCs w:val="28"/>
              </w:rPr>
              <w:t>.</w:t>
            </w:r>
            <w:r>
              <w:rPr>
                <w:rFonts w:hint="eastAsia" w:ascii="仿宋_GB2312" w:hAnsi="仿宋" w:eastAsia="仿宋_GB2312" w:cs="仿宋"/>
                <w:kern w:val="0"/>
                <w:sz w:val="28"/>
                <w:szCs w:val="28"/>
              </w:rPr>
              <w:t>近三年年度考核均为称职及以上等次；</w:t>
            </w:r>
          </w:p>
          <w:p>
            <w:pPr>
              <w:pStyle w:val="4"/>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4</w:t>
            </w:r>
            <w:r>
              <w:rPr>
                <w:rFonts w:ascii="仿宋_GB2312" w:hAnsi="仿宋" w:eastAsia="仿宋_GB2312" w:cs="仿宋"/>
                <w:kern w:val="0"/>
                <w:sz w:val="28"/>
                <w:szCs w:val="28"/>
              </w:rPr>
              <w:t>.</w:t>
            </w:r>
            <w:r>
              <w:rPr>
                <w:rFonts w:hint="eastAsia" w:ascii="仿宋_GB2312" w:hAnsi="仿宋" w:eastAsia="仿宋_GB2312" w:cs="仿宋"/>
                <w:kern w:val="0"/>
                <w:sz w:val="28"/>
                <w:szCs w:val="28"/>
              </w:rPr>
              <w:t>精通或熟悉消费金融等业务领域，具备相关工作经历，取得较好业绩；</w:t>
            </w:r>
          </w:p>
          <w:p>
            <w:pPr>
              <w:adjustRightInd w:val="0"/>
              <w:snapToGrid w:val="0"/>
              <w:spacing w:line="360" w:lineRule="exact"/>
              <w:rPr>
                <w:rFonts w:ascii="仿宋_GB2312" w:hAnsi="仿宋" w:eastAsia="仿宋_GB2312" w:cs="仿宋"/>
                <w:kern w:val="0"/>
                <w:sz w:val="28"/>
                <w:szCs w:val="28"/>
              </w:rPr>
            </w:pPr>
            <w:r>
              <w:rPr>
                <w:rFonts w:hint="eastAsia" w:ascii="仿宋_GB2312" w:hAnsi="仿宋" w:eastAsia="仿宋_GB2312" w:cs="仿宋"/>
                <w:kern w:val="0"/>
                <w:sz w:val="28"/>
                <w:szCs w:val="28"/>
              </w:rPr>
              <w:t>5</w:t>
            </w:r>
            <w:r>
              <w:rPr>
                <w:rFonts w:ascii="仿宋_GB2312" w:hAnsi="仿宋" w:eastAsia="仿宋_GB2312" w:cs="仿宋"/>
                <w:kern w:val="0"/>
                <w:sz w:val="28"/>
                <w:szCs w:val="28"/>
              </w:rPr>
              <w:t>.</w:t>
            </w:r>
            <w:r>
              <w:rPr>
                <w:rFonts w:hint="eastAsia" w:ascii="仿宋_GB2312" w:hAnsi="仿宋" w:eastAsia="仿宋_GB2312" w:cs="仿宋"/>
                <w:kern w:val="0"/>
                <w:sz w:val="28"/>
                <w:szCs w:val="28"/>
              </w:rPr>
              <w:t>符合有关法律法规和行业主管部门规定的其他任职资格要求；</w:t>
            </w:r>
          </w:p>
          <w:p>
            <w:pPr>
              <w:pStyle w:val="5"/>
              <w:widowControl/>
              <w:adjustRightInd w:val="0"/>
              <w:snapToGrid w:val="0"/>
              <w:spacing w:beforeAutospacing="0" w:afterAutospacing="0" w:line="360" w:lineRule="exact"/>
              <w:rPr>
                <w:rFonts w:ascii="仿宋_GB2312" w:hAnsi="仿宋" w:eastAsia="仿宋_GB2312" w:cs="仿宋"/>
                <w:sz w:val="28"/>
                <w:szCs w:val="28"/>
              </w:rPr>
            </w:pPr>
            <w:r>
              <w:rPr>
                <w:rFonts w:hint="eastAsia" w:ascii="仿宋_GB2312" w:hAnsi="仿宋" w:eastAsia="仿宋_GB2312" w:cs="仿宋"/>
                <w:sz w:val="28"/>
                <w:szCs w:val="28"/>
              </w:rPr>
              <w:t>6</w:t>
            </w:r>
            <w:r>
              <w:rPr>
                <w:rFonts w:ascii="仿宋_GB2312" w:hAnsi="仿宋" w:eastAsia="仿宋_GB2312" w:cs="仿宋"/>
                <w:sz w:val="28"/>
                <w:szCs w:val="28"/>
              </w:rPr>
              <w:t>.</w:t>
            </w:r>
            <w:r>
              <w:rPr>
                <w:rFonts w:hint="eastAsia" w:ascii="仿宋_GB2312" w:hAnsi="仿宋" w:eastAsia="仿宋_GB2312" w:cs="仿宋"/>
                <w:sz w:val="28"/>
                <w:szCs w:val="28"/>
              </w:rPr>
              <w:t>无不良从业记录，</w:t>
            </w:r>
            <w:r>
              <w:rPr>
                <w:rFonts w:ascii="仿宋_GB2312" w:hAnsi="仿宋" w:eastAsia="仿宋_GB2312" w:cs="仿宋"/>
                <w:sz w:val="28"/>
                <w:szCs w:val="28"/>
              </w:rPr>
              <w:t>符合</w:t>
            </w:r>
            <w:r>
              <w:rPr>
                <w:rFonts w:hint="eastAsia" w:ascii="仿宋_GB2312" w:hAnsi="仿宋" w:eastAsia="仿宋_GB2312" w:cs="仿宋"/>
                <w:sz w:val="28"/>
                <w:szCs w:val="28"/>
              </w:rPr>
              <w:t>本行履职</w:t>
            </w:r>
            <w:r>
              <w:rPr>
                <w:rFonts w:ascii="仿宋_GB2312" w:hAnsi="仿宋" w:eastAsia="仿宋_GB2312" w:cs="仿宋"/>
                <w:sz w:val="28"/>
                <w:szCs w:val="28"/>
              </w:rPr>
              <w:t>回避有关规定</w:t>
            </w:r>
            <w:r>
              <w:rPr>
                <w:rFonts w:hint="eastAsia" w:ascii="仿宋_GB2312" w:hAnsi="仿宋" w:eastAsia="仿宋_GB2312" w:cs="仿宋"/>
                <w:sz w:val="28"/>
                <w:szCs w:val="28"/>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711" w:hRule="atLeast"/>
        </w:trPr>
        <w:tc>
          <w:tcPr>
            <w:tcW w:w="1501" w:type="dxa"/>
            <w:tcBorders>
              <w:top w:val="single" w:color="auto" w:sz="6" w:space="0"/>
              <w:bottom w:val="single" w:color="auto" w:sz="6" w:space="0"/>
              <w:right w:val="single" w:color="auto" w:sz="6" w:space="0"/>
            </w:tcBorders>
            <w:shd w:val="clear" w:color="auto" w:fill="FDFEFF"/>
            <w:tcMar>
              <w:left w:w="101" w:type="dxa"/>
              <w:right w:w="101" w:type="dxa"/>
            </w:tcMar>
            <w:vAlign w:val="center"/>
          </w:tcPr>
          <w:p>
            <w:pPr>
              <w:pStyle w:val="5"/>
              <w:widowControl/>
              <w:spacing w:beforeAutospacing="0" w:afterAutospacing="0" w:line="320" w:lineRule="exact"/>
              <w:jc w:val="center"/>
              <w:rPr>
                <w:rFonts w:ascii="黑体" w:hAnsi="黑体" w:eastAsia="黑体" w:cs="黑体"/>
                <w:sz w:val="28"/>
                <w:szCs w:val="28"/>
              </w:rPr>
            </w:pPr>
            <w:r>
              <w:rPr>
                <w:rFonts w:hint="eastAsia" w:ascii="黑体" w:hAnsi="黑体" w:eastAsia="黑体" w:cs="黑体"/>
                <w:sz w:val="28"/>
                <w:szCs w:val="28"/>
              </w:rPr>
              <w:t>经营目标</w:t>
            </w:r>
          </w:p>
        </w:tc>
        <w:tc>
          <w:tcPr>
            <w:tcW w:w="6996" w:type="dxa"/>
            <w:tcBorders>
              <w:top w:val="single" w:color="auto" w:sz="6" w:space="0"/>
              <w:left w:val="single" w:color="auto" w:sz="6" w:space="0"/>
              <w:bottom w:val="single" w:color="auto" w:sz="6" w:space="0"/>
            </w:tcBorders>
            <w:shd w:val="clear" w:color="auto" w:fill="FDFEFF"/>
            <w:tcMar>
              <w:left w:w="101" w:type="dxa"/>
              <w:right w:w="101" w:type="dxa"/>
            </w:tcMar>
            <w:vAlign w:val="center"/>
          </w:tcPr>
          <w:p>
            <w:pPr>
              <w:pStyle w:val="5"/>
              <w:widowControl/>
              <w:spacing w:beforeAutospacing="0" w:afterAutospacing="0" w:line="360" w:lineRule="exact"/>
              <w:jc w:val="both"/>
              <w:rPr>
                <w:rFonts w:ascii="仿宋_GB2312" w:hAnsi="仿宋" w:eastAsia="仿宋_GB2312" w:cs="仿宋"/>
                <w:sz w:val="28"/>
                <w:szCs w:val="28"/>
              </w:rPr>
            </w:pPr>
            <w:r>
              <w:rPr>
                <w:rFonts w:hint="eastAsia" w:ascii="仿宋_GB2312" w:hAnsi="仿宋" w:eastAsia="仿宋_GB2312" w:cs="仿宋"/>
                <w:sz w:val="28"/>
                <w:szCs w:val="28"/>
              </w:rPr>
              <w:t>1</w:t>
            </w:r>
            <w:r>
              <w:rPr>
                <w:rFonts w:ascii="仿宋_GB2312" w:hAnsi="仿宋" w:eastAsia="仿宋_GB2312" w:cs="仿宋"/>
                <w:sz w:val="28"/>
                <w:szCs w:val="28"/>
              </w:rPr>
              <w:t>.</w:t>
            </w:r>
            <w:r>
              <w:rPr>
                <w:rFonts w:hint="eastAsia" w:ascii="仿宋_GB2312" w:hAnsi="仿宋" w:eastAsia="仿宋_GB2312" w:cs="仿宋"/>
                <w:sz w:val="28"/>
                <w:szCs w:val="28"/>
              </w:rPr>
              <w:t>按照内蒙古蒙商消费金融股份有限公司发展规划及战略目标，重点推动管理及效益提升；</w:t>
            </w:r>
          </w:p>
          <w:p>
            <w:pPr>
              <w:pStyle w:val="5"/>
              <w:widowControl/>
              <w:spacing w:beforeAutospacing="0" w:afterAutospacing="0" w:line="360" w:lineRule="exact"/>
              <w:jc w:val="both"/>
              <w:rPr>
                <w:rFonts w:ascii="仿宋_GB2312" w:hAnsi="仿宋" w:eastAsia="仿宋_GB2312" w:cs="仿宋"/>
                <w:sz w:val="28"/>
                <w:szCs w:val="28"/>
              </w:rPr>
            </w:pPr>
            <w:r>
              <w:rPr>
                <w:rFonts w:hint="eastAsia" w:ascii="仿宋_GB2312" w:hAnsi="仿宋" w:eastAsia="仿宋_GB2312" w:cs="仿宋"/>
                <w:sz w:val="28"/>
                <w:szCs w:val="28"/>
              </w:rPr>
              <w:t>2</w:t>
            </w:r>
            <w:r>
              <w:rPr>
                <w:rFonts w:ascii="仿宋_GB2312" w:hAnsi="仿宋" w:eastAsia="仿宋_GB2312" w:cs="仿宋"/>
                <w:sz w:val="28"/>
                <w:szCs w:val="28"/>
              </w:rPr>
              <w:t>.</w:t>
            </w:r>
            <w:r>
              <w:rPr>
                <w:rFonts w:hint="eastAsia" w:ascii="仿宋_GB2312" w:hAnsi="仿宋" w:eastAsia="仿宋_GB2312" w:cs="仿宋"/>
                <w:sz w:val="28"/>
                <w:szCs w:val="28"/>
              </w:rPr>
              <w:t>带领团队超额完成年度经营指标，具体经营目标以每年实际签订的《业绩考核目标责任书》为准。</w:t>
            </w:r>
          </w:p>
        </w:tc>
      </w:tr>
    </w:tbl>
    <w:p>
      <w:pPr>
        <w:pStyle w:val="10"/>
        <w:rPr>
          <w:rFonts w:ascii="黑体" w:hAnsi="黑体" w:eastAsia="黑体"/>
          <w:b w:val="0"/>
          <w:bCs/>
          <w:color w:val="auto"/>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B3"/>
    <w:rsid w:val="000F53B4"/>
    <w:rsid w:val="00221B90"/>
    <w:rsid w:val="002D103B"/>
    <w:rsid w:val="002F14B3"/>
    <w:rsid w:val="003B36E2"/>
    <w:rsid w:val="005A0F9E"/>
    <w:rsid w:val="006A1103"/>
    <w:rsid w:val="006A5DAD"/>
    <w:rsid w:val="0091133B"/>
    <w:rsid w:val="00A16613"/>
    <w:rsid w:val="00A769E7"/>
    <w:rsid w:val="00B03F5F"/>
    <w:rsid w:val="00D509F8"/>
    <w:rsid w:val="00D9702E"/>
    <w:rsid w:val="00E066F4"/>
    <w:rsid w:val="7C87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14:ligatures w14:val="standardContextual"/>
    </w:rPr>
  </w:style>
  <w:style w:type="paragraph" w:styleId="3">
    <w:name w:val="header"/>
    <w:basedOn w:val="1"/>
    <w:link w:val="8"/>
    <w:unhideWhenUsed/>
    <w:uiPriority w:val="99"/>
    <w:pPr>
      <w:tabs>
        <w:tab w:val="center" w:pos="4153"/>
        <w:tab w:val="right" w:pos="8306"/>
      </w:tabs>
      <w:snapToGrid w:val="0"/>
      <w:jc w:val="center"/>
    </w:pPr>
    <w:rPr>
      <w:sz w:val="18"/>
      <w:szCs w:val="18"/>
      <w14:ligatures w14:val="standardContextual"/>
    </w:rPr>
  </w:style>
  <w:style w:type="paragraph" w:styleId="4">
    <w:name w:val="toc 1"/>
    <w:basedOn w:val="1"/>
    <w:next w:val="1"/>
    <w:qFormat/>
    <w:uiPriority w:val="0"/>
    <w:rPr>
      <w:rFonts w:ascii="Calibri" w:hAnsi="Calibri" w:eastAsia="宋体" w:cs="Times New Roman"/>
      <w:szCs w:val="24"/>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 w:type="paragraph" w:customStyle="1" w:styleId="10">
    <w:name w:val="Heading2"/>
    <w:basedOn w:val="1"/>
    <w:next w:val="1"/>
    <w:qFormat/>
    <w:uiPriority w:val="0"/>
    <w:pPr>
      <w:snapToGrid w:val="0"/>
      <w:contextualSpacing/>
      <w:textAlignment w:val="baseline"/>
    </w:pPr>
    <w:rPr>
      <w:rFonts w:ascii="Calibri" w:hAnsi="Calibri" w:eastAsia="仿宋_GB2312"/>
      <w:b/>
      <w:color w:val="44546A"/>
      <w:sz w:val="32"/>
      <w:szCs w:val="26"/>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327</Words>
  <Characters>1870</Characters>
  <Lines>15</Lines>
  <Paragraphs>4</Paragraphs>
  <TotalTime>5</TotalTime>
  <ScaleCrop>false</ScaleCrop>
  <LinksUpToDate>false</LinksUpToDate>
  <CharactersWithSpaces>2193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2023-06-21T10:49:00Z</dcterms:created>
  <dc:creator>rick_yangyong@outlook.com</dc:creator>
  <cp:lastModifiedBy>卫媛媛</cp:lastModifiedBy>
  <dcterms:modified xsi:type="dcterms:W3CDTF">2023-06-21T12:31:51Z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