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5C5D924">
      <w:pPr>
        <w:spacing w:line="500" w:lineRule="exact"/>
        <w:rPr>
          <w:rFonts w:hint="default" w:ascii="Times New Roman Regular" w:hAnsi="Times New Roman Regular" w:cs="Times New Roman Regular"/>
          <w:color w:val="000000"/>
          <w:sz w:val="32"/>
          <w:szCs w:val="32"/>
        </w:rPr>
      </w:pPr>
      <w:r>
        <w:rPr>
          <w:rFonts w:hint="default" w:ascii="Times New Roman Regular" w:hAnsi="Times New Roman Regular" w:cs="Times New Roman Regular"/>
          <w:color w:val="000000"/>
          <w:sz w:val="32"/>
          <w:szCs w:val="32"/>
        </w:rPr>
        <w:t>附件</w:t>
      </w:r>
      <w:r>
        <w:rPr>
          <w:rFonts w:hint="eastAsia" w:ascii="Times New Roman Regular" w:hAnsi="Times New Roman Regular" w:cs="Times New Roman Regular"/>
          <w:color w:val="000000"/>
          <w:sz w:val="32"/>
          <w:szCs w:val="32"/>
          <w:lang w:val="en-US" w:eastAsia="zh-CN"/>
        </w:rPr>
        <w:t>1</w:t>
      </w:r>
      <w:r>
        <w:rPr>
          <w:rFonts w:hint="default" w:ascii="Times New Roman Regular" w:hAnsi="Times New Roman Regular" w:cs="Times New Roman Regular"/>
          <w:color w:val="000000"/>
          <w:sz w:val="32"/>
          <w:szCs w:val="32"/>
        </w:rPr>
        <w:t>：</w:t>
      </w:r>
    </w:p>
    <w:tbl>
      <w:tblPr>
        <w:tblStyle w:val="4"/>
        <w:tblW w:w="9283" w:type="dxa"/>
        <w:tblInd w:w="-44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50"/>
        <w:gridCol w:w="851"/>
        <w:gridCol w:w="1725"/>
        <w:gridCol w:w="2141"/>
        <w:gridCol w:w="3516"/>
        <w:gridCol w:w="700"/>
      </w:tblGrid>
      <w:tr w14:paraId="0A3887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83" w:type="dxa"/>
            <w:gridSpan w:val="5"/>
            <w:vAlign w:val="center"/>
          </w:tcPr>
          <w:p w14:paraId="1E4BDA9A">
            <w:pPr>
              <w:spacing w:after="0" w:line="560" w:lineRule="exact"/>
              <w:jc w:val="center"/>
              <w:rPr>
                <w:rFonts w:hint="eastAsia" w:ascii="仿宋_GB2312" w:hAnsi="仿宋_GB2312" w:eastAsia="仿宋_GB2312" w:cs="仿宋_GB2312"/>
                <w:color w:val="000000"/>
                <w:kern w:val="2"/>
                <w:sz w:val="28"/>
                <w:szCs w:val="28"/>
                <w:lang w:val="en-US" w:eastAsia="zh-CN"/>
                <w14:ligatures w14:val="none"/>
              </w:rPr>
            </w:pPr>
            <w:bookmarkStart w:id="0" w:name="_GoBack"/>
            <w:r>
              <w:rPr>
                <w:rFonts w:hint="eastAsia" w:ascii="仿宋_GB2312" w:hAnsi="仿宋_GB2312" w:eastAsia="仿宋_GB2312" w:cs="仿宋_GB2312"/>
                <w:color w:val="000000"/>
                <w:kern w:val="2"/>
                <w:sz w:val="28"/>
                <w:szCs w:val="28"/>
                <w:lang w:val="en-US" w:eastAsia="zh-CN"/>
                <w14:ligatures w14:val="none"/>
              </w:rPr>
              <w:t>西安银行中层招聘岗位表</w:t>
            </w:r>
            <w:bookmarkEnd w:id="0"/>
          </w:p>
        </w:tc>
        <w:tc>
          <w:tcPr>
            <w:tcW w:w="700" w:type="dxa"/>
            <w:vAlign w:val="center"/>
          </w:tcPr>
          <w:p w14:paraId="055E5ED5">
            <w:pPr>
              <w:spacing w:after="0" w:line="560" w:lineRule="exact"/>
              <w:jc w:val="center"/>
              <w:rPr>
                <w:rFonts w:hint="eastAsia" w:ascii="仿宋_GB2312" w:hAnsi="仿宋_GB2312" w:eastAsia="仿宋_GB2312" w:cs="仿宋_GB2312"/>
                <w:color w:val="000000"/>
                <w:kern w:val="2"/>
                <w:sz w:val="28"/>
                <w:szCs w:val="28"/>
                <w:lang w:val="en-US" w:eastAsia="zh-CN"/>
                <w14:ligatures w14:val="none"/>
              </w:rPr>
            </w:pPr>
          </w:p>
        </w:tc>
      </w:tr>
      <w:tr w14:paraId="6E5EBB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0" w:type="dxa"/>
            <w:vAlign w:val="center"/>
          </w:tcPr>
          <w:p w14:paraId="4BCF844C">
            <w:pPr>
              <w:spacing w:line="500" w:lineRule="exact"/>
              <w:jc w:val="center"/>
              <w:rPr>
                <w:rFonts w:hint="eastAsia" w:ascii="仿宋_GB2312" w:hAnsi="仿宋_GB2312" w:eastAsia="仿宋_GB2312" w:cs="仿宋_GB2312"/>
                <w:color w:val="000000"/>
                <w:sz w:val="24"/>
                <w:szCs w:val="24"/>
                <w:vertAlign w:val="baseline"/>
                <w:lang w:val="en-US" w:eastAsia="zh-CN"/>
              </w:rPr>
            </w:pPr>
            <w:r>
              <w:rPr>
                <w:rFonts w:hint="eastAsia" w:ascii="仿宋_GB2312" w:hAnsi="仿宋_GB2312" w:eastAsia="仿宋_GB2312" w:cs="仿宋_GB2312"/>
                <w:color w:val="000000"/>
                <w:sz w:val="24"/>
                <w:szCs w:val="24"/>
                <w:vertAlign w:val="baseline"/>
                <w:lang w:val="en-US" w:eastAsia="zh-CN"/>
              </w:rPr>
              <w:t>序号</w:t>
            </w:r>
          </w:p>
        </w:tc>
        <w:tc>
          <w:tcPr>
            <w:tcW w:w="851" w:type="dxa"/>
            <w:vAlign w:val="center"/>
          </w:tcPr>
          <w:p w14:paraId="45B2A3D7">
            <w:pPr>
              <w:spacing w:line="500" w:lineRule="exact"/>
              <w:jc w:val="center"/>
              <w:rPr>
                <w:rFonts w:hint="eastAsia" w:ascii="仿宋_GB2312" w:hAnsi="仿宋_GB2312" w:eastAsia="仿宋_GB2312" w:cs="仿宋_GB2312"/>
                <w:color w:val="000000"/>
                <w:sz w:val="24"/>
                <w:szCs w:val="24"/>
                <w:vertAlign w:val="baseline"/>
                <w:lang w:val="en-US" w:eastAsia="zh-CN"/>
              </w:rPr>
            </w:pPr>
            <w:r>
              <w:rPr>
                <w:rFonts w:hint="eastAsia" w:ascii="仿宋_GB2312" w:hAnsi="仿宋_GB2312" w:eastAsia="仿宋_GB2312" w:cs="仿宋_GB2312"/>
                <w:color w:val="000000"/>
                <w:sz w:val="24"/>
                <w:szCs w:val="24"/>
                <w:vertAlign w:val="baseline"/>
                <w:lang w:val="en-US" w:eastAsia="zh-CN"/>
              </w:rPr>
              <w:t>单位层级</w:t>
            </w:r>
          </w:p>
        </w:tc>
        <w:tc>
          <w:tcPr>
            <w:tcW w:w="1725" w:type="dxa"/>
            <w:vAlign w:val="center"/>
          </w:tcPr>
          <w:p w14:paraId="731A7CC7">
            <w:pPr>
              <w:spacing w:line="500" w:lineRule="exact"/>
              <w:jc w:val="center"/>
              <w:rPr>
                <w:rFonts w:hint="eastAsia" w:ascii="仿宋_GB2312" w:hAnsi="仿宋_GB2312" w:eastAsia="仿宋_GB2312" w:cs="仿宋_GB2312"/>
                <w:color w:val="000000"/>
                <w:sz w:val="24"/>
                <w:szCs w:val="24"/>
                <w:vertAlign w:val="baseline"/>
                <w:lang w:val="en-US" w:eastAsia="zh-CN"/>
              </w:rPr>
            </w:pPr>
            <w:r>
              <w:rPr>
                <w:rFonts w:hint="eastAsia" w:ascii="仿宋_GB2312" w:hAnsi="仿宋_GB2312" w:eastAsia="仿宋_GB2312" w:cs="仿宋_GB2312"/>
                <w:color w:val="000000"/>
                <w:sz w:val="24"/>
                <w:szCs w:val="24"/>
                <w:vertAlign w:val="baseline"/>
                <w:lang w:val="en-US" w:eastAsia="zh-CN"/>
              </w:rPr>
              <w:t>岗位名称</w:t>
            </w:r>
          </w:p>
        </w:tc>
        <w:tc>
          <w:tcPr>
            <w:tcW w:w="2141" w:type="dxa"/>
            <w:vAlign w:val="center"/>
          </w:tcPr>
          <w:p w14:paraId="714A8406">
            <w:pPr>
              <w:spacing w:line="500" w:lineRule="exact"/>
              <w:jc w:val="center"/>
              <w:rPr>
                <w:rFonts w:hint="eastAsia" w:ascii="仿宋_GB2312" w:hAnsi="仿宋_GB2312" w:eastAsia="仿宋_GB2312" w:cs="仿宋_GB2312"/>
                <w:color w:val="000000"/>
                <w:sz w:val="24"/>
                <w:szCs w:val="24"/>
                <w:vertAlign w:val="baseline"/>
                <w:lang w:val="en-US" w:eastAsia="zh-CN"/>
              </w:rPr>
            </w:pPr>
            <w:r>
              <w:rPr>
                <w:rFonts w:hint="eastAsia" w:ascii="仿宋_GB2312" w:hAnsi="仿宋_GB2312" w:eastAsia="仿宋_GB2312" w:cs="仿宋_GB2312"/>
                <w:color w:val="000000"/>
                <w:sz w:val="24"/>
                <w:szCs w:val="24"/>
                <w:vertAlign w:val="baseline"/>
                <w:lang w:val="en-US" w:eastAsia="zh-CN"/>
              </w:rPr>
              <w:t>任职资格</w:t>
            </w:r>
          </w:p>
        </w:tc>
        <w:tc>
          <w:tcPr>
            <w:tcW w:w="3516" w:type="dxa"/>
            <w:vAlign w:val="center"/>
          </w:tcPr>
          <w:p w14:paraId="49746C26">
            <w:pPr>
              <w:spacing w:line="500" w:lineRule="exact"/>
              <w:jc w:val="center"/>
              <w:rPr>
                <w:rFonts w:hint="eastAsia" w:ascii="仿宋_GB2312" w:hAnsi="仿宋_GB2312" w:eastAsia="仿宋_GB2312" w:cs="仿宋_GB2312"/>
                <w:color w:val="000000"/>
                <w:sz w:val="24"/>
                <w:szCs w:val="24"/>
                <w:vertAlign w:val="baseline"/>
                <w:lang w:val="en-US" w:eastAsia="zh-CN"/>
              </w:rPr>
            </w:pPr>
            <w:r>
              <w:rPr>
                <w:rFonts w:hint="eastAsia" w:ascii="仿宋_GB2312" w:hAnsi="仿宋_GB2312" w:eastAsia="仿宋_GB2312" w:cs="仿宋_GB2312"/>
                <w:color w:val="000000"/>
                <w:sz w:val="24"/>
                <w:szCs w:val="24"/>
                <w:vertAlign w:val="baseline"/>
                <w:lang w:val="en-US" w:eastAsia="zh-CN"/>
              </w:rPr>
              <w:t>岗位要求</w:t>
            </w:r>
          </w:p>
        </w:tc>
        <w:tc>
          <w:tcPr>
            <w:tcW w:w="700" w:type="dxa"/>
            <w:vAlign w:val="center"/>
          </w:tcPr>
          <w:p w14:paraId="4D2CEC6A">
            <w:pPr>
              <w:spacing w:line="500" w:lineRule="exact"/>
              <w:jc w:val="center"/>
              <w:rPr>
                <w:rFonts w:hint="default" w:ascii="仿宋_GB2312" w:hAnsi="仿宋_GB2312" w:eastAsia="仿宋_GB2312" w:cs="仿宋_GB2312"/>
                <w:color w:val="000000"/>
                <w:sz w:val="24"/>
                <w:szCs w:val="24"/>
                <w:vertAlign w:val="baseline"/>
                <w:lang w:val="en-US" w:eastAsia="zh-CN"/>
              </w:rPr>
            </w:pPr>
            <w:r>
              <w:rPr>
                <w:rFonts w:hint="eastAsia" w:ascii="仿宋_GB2312" w:hAnsi="仿宋_GB2312" w:eastAsia="仿宋_GB2312" w:cs="仿宋_GB2312"/>
                <w:color w:val="000000"/>
                <w:sz w:val="24"/>
                <w:szCs w:val="24"/>
                <w:vertAlign w:val="baseline"/>
                <w:lang w:val="en-US" w:eastAsia="zh-CN"/>
              </w:rPr>
              <w:t>招聘数量</w:t>
            </w:r>
          </w:p>
        </w:tc>
      </w:tr>
      <w:tr w14:paraId="018ACB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350" w:type="dxa"/>
            <w:vAlign w:val="center"/>
          </w:tcPr>
          <w:p w14:paraId="05A21881">
            <w:pPr>
              <w:spacing w:line="500" w:lineRule="exact"/>
              <w:jc w:val="both"/>
              <w:rPr>
                <w:rFonts w:hint="eastAsia" w:ascii="仿宋_GB2312" w:hAnsi="仿宋_GB2312" w:eastAsia="仿宋_GB2312" w:cs="仿宋_GB2312"/>
                <w:color w:val="000000"/>
                <w:sz w:val="24"/>
                <w:szCs w:val="24"/>
                <w:vertAlign w:val="baseline"/>
                <w:lang w:val="en-US" w:eastAsia="zh-CN"/>
              </w:rPr>
            </w:pPr>
            <w:r>
              <w:rPr>
                <w:rFonts w:hint="eastAsia" w:ascii="仿宋_GB2312" w:hAnsi="仿宋_GB2312" w:eastAsia="仿宋_GB2312" w:cs="仿宋_GB2312"/>
                <w:color w:val="000000"/>
                <w:sz w:val="24"/>
                <w:szCs w:val="24"/>
                <w:vertAlign w:val="baseline"/>
                <w:lang w:val="en-US" w:eastAsia="zh-CN"/>
              </w:rPr>
              <w:t>1</w:t>
            </w:r>
          </w:p>
        </w:tc>
        <w:tc>
          <w:tcPr>
            <w:tcW w:w="851" w:type="dxa"/>
            <w:vMerge w:val="restart"/>
            <w:vAlign w:val="center"/>
          </w:tcPr>
          <w:p w14:paraId="5EEC406F">
            <w:pPr>
              <w:spacing w:line="500" w:lineRule="exact"/>
              <w:jc w:val="both"/>
              <w:rPr>
                <w:rFonts w:hint="eastAsia" w:ascii="仿宋_GB2312" w:hAnsi="仿宋_GB2312" w:eastAsia="仿宋_GB2312" w:cs="仿宋_GB2312"/>
                <w:color w:val="000000"/>
                <w:sz w:val="24"/>
                <w:szCs w:val="24"/>
                <w:vertAlign w:val="baseline"/>
                <w:lang w:val="en-US" w:eastAsia="zh-CN"/>
              </w:rPr>
            </w:pPr>
            <w:r>
              <w:rPr>
                <w:rFonts w:hint="eastAsia" w:ascii="仿宋_GB2312" w:hAnsi="仿宋_GB2312" w:eastAsia="仿宋_GB2312" w:cs="仿宋_GB2312"/>
                <w:sz w:val="24"/>
                <w:szCs w:val="24"/>
                <w:lang w:val="en-US" w:eastAsia="zh-CN"/>
              </w:rPr>
              <w:t>总行部门中层岗位</w:t>
            </w:r>
          </w:p>
        </w:tc>
        <w:tc>
          <w:tcPr>
            <w:tcW w:w="1725" w:type="dxa"/>
            <w:vAlign w:val="center"/>
          </w:tcPr>
          <w:p w14:paraId="3926C701">
            <w:pPr>
              <w:keepNext w:val="0"/>
              <w:keepLines w:val="0"/>
              <w:pageBreakBefore w:val="0"/>
              <w:widowControl w:val="0"/>
              <w:kinsoku/>
              <w:wordWrap/>
              <w:overflowPunct/>
              <w:topLinePunct w:val="0"/>
              <w:autoSpaceDE/>
              <w:autoSpaceDN/>
              <w:bidi w:val="0"/>
              <w:adjustRightInd/>
              <w:snapToGrid/>
              <w:spacing w:line="20" w:lineRule="atLeast"/>
              <w:jc w:val="both"/>
              <w:textAlignment w:val="auto"/>
              <w:rPr>
                <w:rFonts w:hint="default" w:ascii="仿宋_GB2312" w:hAnsi="仿宋_GB2312" w:eastAsia="仿宋_GB2312" w:cs="仿宋_GB2312"/>
                <w:color w:val="000000"/>
                <w:sz w:val="24"/>
                <w:szCs w:val="24"/>
                <w:vertAlign w:val="baseline"/>
                <w:lang w:val="en-US"/>
              </w:rPr>
            </w:pPr>
            <w:r>
              <w:rPr>
                <w:rFonts w:hint="eastAsia" w:ascii="仿宋_GB2312" w:hAnsi="仿宋_GB2312" w:eastAsia="仿宋_GB2312" w:cs="仿宋_GB2312"/>
                <w:sz w:val="24"/>
                <w:szCs w:val="24"/>
                <w:lang w:val="en-US" w:eastAsia="zh-CN"/>
              </w:rPr>
              <w:t>公司业务板块中层岗位</w:t>
            </w:r>
          </w:p>
        </w:tc>
        <w:tc>
          <w:tcPr>
            <w:tcW w:w="2141" w:type="dxa"/>
            <w:vMerge w:val="restart"/>
            <w:vAlign w:val="center"/>
          </w:tcPr>
          <w:p w14:paraId="6633E6C4">
            <w:pPr>
              <w:keepNext w:val="0"/>
              <w:keepLines w:val="0"/>
              <w:pageBreakBefore w:val="0"/>
              <w:widowControl w:val="0"/>
              <w:kinsoku/>
              <w:wordWrap/>
              <w:overflowPunct/>
              <w:topLinePunct w:val="0"/>
              <w:autoSpaceDE/>
              <w:autoSpaceDN/>
              <w:bidi w:val="0"/>
              <w:adjustRightInd/>
              <w:snapToGrid/>
              <w:spacing w:line="20" w:lineRule="atLeast"/>
              <w:jc w:val="both"/>
              <w:textAlignment w:val="auto"/>
              <w:rPr>
                <w:rFonts w:hint="eastAsia" w:ascii="仿宋_GB2312" w:hAnsi="仿宋_GB2312" w:eastAsia="仿宋_GB2312" w:cs="仿宋_GB2312"/>
                <w:color w:val="000000"/>
                <w:sz w:val="24"/>
                <w:szCs w:val="24"/>
                <w:vertAlign w:val="baseline"/>
              </w:rPr>
            </w:pPr>
            <w:r>
              <w:rPr>
                <w:rFonts w:hint="eastAsia" w:ascii="仿宋_GB2312" w:hAnsi="仿宋_GB2312" w:eastAsia="仿宋_GB2312" w:cs="仿宋_GB2312"/>
                <w:color w:val="000000"/>
                <w:sz w:val="24"/>
                <w:szCs w:val="24"/>
                <w:vertAlign w:val="baseline"/>
              </w:rPr>
              <w:t>（一）政治素质好，拥护中国共产党的领导，坚决执行党和国家的路线、方针、政策。</w:t>
            </w:r>
          </w:p>
          <w:p w14:paraId="6965B55C">
            <w:pPr>
              <w:keepNext w:val="0"/>
              <w:keepLines w:val="0"/>
              <w:pageBreakBefore w:val="0"/>
              <w:widowControl w:val="0"/>
              <w:kinsoku/>
              <w:wordWrap/>
              <w:overflowPunct/>
              <w:topLinePunct w:val="0"/>
              <w:autoSpaceDE/>
              <w:autoSpaceDN/>
              <w:bidi w:val="0"/>
              <w:adjustRightInd/>
              <w:snapToGrid/>
              <w:spacing w:line="20" w:lineRule="atLeast"/>
              <w:jc w:val="both"/>
              <w:textAlignment w:val="auto"/>
              <w:rPr>
                <w:rFonts w:hint="eastAsia" w:ascii="仿宋_GB2312" w:hAnsi="仿宋_GB2312" w:eastAsia="仿宋_GB2312" w:cs="仿宋_GB2312"/>
                <w:color w:val="000000"/>
                <w:sz w:val="24"/>
                <w:szCs w:val="24"/>
                <w:vertAlign w:val="baseline"/>
              </w:rPr>
            </w:pPr>
            <w:r>
              <w:rPr>
                <w:rFonts w:hint="eastAsia" w:ascii="仿宋_GB2312" w:hAnsi="仿宋_GB2312" w:eastAsia="仿宋_GB2312" w:cs="仿宋_GB2312"/>
                <w:color w:val="000000"/>
                <w:sz w:val="24"/>
                <w:szCs w:val="24"/>
                <w:vertAlign w:val="baseline"/>
              </w:rPr>
              <w:t>（二）全日制研究生及以上学历（取得国外相应学历须经国家教育部认可）。</w:t>
            </w:r>
          </w:p>
          <w:p w14:paraId="4278470F">
            <w:pPr>
              <w:keepNext w:val="0"/>
              <w:keepLines w:val="0"/>
              <w:pageBreakBefore w:val="0"/>
              <w:widowControl w:val="0"/>
              <w:kinsoku/>
              <w:wordWrap/>
              <w:overflowPunct/>
              <w:topLinePunct w:val="0"/>
              <w:autoSpaceDE/>
              <w:autoSpaceDN/>
              <w:bidi w:val="0"/>
              <w:adjustRightInd/>
              <w:snapToGrid/>
              <w:spacing w:line="20" w:lineRule="atLeast"/>
              <w:jc w:val="both"/>
              <w:textAlignment w:val="auto"/>
              <w:rPr>
                <w:rFonts w:hint="eastAsia" w:ascii="仿宋_GB2312" w:hAnsi="仿宋_GB2312" w:eastAsia="仿宋_GB2312" w:cs="仿宋_GB2312"/>
                <w:color w:val="000000"/>
                <w:sz w:val="24"/>
                <w:szCs w:val="24"/>
                <w:vertAlign w:val="baseline"/>
              </w:rPr>
            </w:pPr>
            <w:r>
              <w:rPr>
                <w:rFonts w:hint="eastAsia" w:ascii="仿宋_GB2312" w:hAnsi="仿宋_GB2312" w:eastAsia="仿宋_GB2312" w:cs="仿宋_GB2312"/>
                <w:color w:val="000000"/>
                <w:sz w:val="24"/>
                <w:szCs w:val="24"/>
                <w:vertAlign w:val="baseline"/>
              </w:rPr>
              <w:t>（三）年龄原则上不超过40周岁（1984年11月（含）以后出生）。</w:t>
            </w:r>
          </w:p>
          <w:p w14:paraId="097291A4">
            <w:pPr>
              <w:keepNext w:val="0"/>
              <w:keepLines w:val="0"/>
              <w:pageBreakBefore w:val="0"/>
              <w:widowControl w:val="0"/>
              <w:kinsoku/>
              <w:wordWrap/>
              <w:overflowPunct/>
              <w:topLinePunct w:val="0"/>
              <w:autoSpaceDE/>
              <w:autoSpaceDN/>
              <w:bidi w:val="0"/>
              <w:adjustRightInd/>
              <w:snapToGrid/>
              <w:spacing w:line="20" w:lineRule="atLeast"/>
              <w:jc w:val="both"/>
              <w:textAlignment w:val="auto"/>
              <w:rPr>
                <w:rFonts w:hint="eastAsia" w:ascii="仿宋_GB2312" w:hAnsi="仿宋_GB2312" w:eastAsia="仿宋_GB2312" w:cs="仿宋_GB2312"/>
                <w:color w:val="000000"/>
                <w:sz w:val="24"/>
                <w:szCs w:val="24"/>
                <w:vertAlign w:val="baseline"/>
              </w:rPr>
            </w:pPr>
            <w:r>
              <w:rPr>
                <w:rFonts w:hint="eastAsia" w:ascii="仿宋_GB2312" w:hAnsi="仿宋_GB2312" w:eastAsia="仿宋_GB2312" w:cs="仿宋_GB2312"/>
                <w:color w:val="000000"/>
                <w:sz w:val="24"/>
                <w:szCs w:val="24"/>
                <w:vertAlign w:val="baseline"/>
              </w:rPr>
              <w:t xml:space="preserve">针对上述第（二）（三）项，特别优秀的可以适当放宽。 </w:t>
            </w:r>
          </w:p>
          <w:p w14:paraId="01F8F079">
            <w:pPr>
              <w:keepNext w:val="0"/>
              <w:keepLines w:val="0"/>
              <w:pageBreakBefore w:val="0"/>
              <w:widowControl w:val="0"/>
              <w:kinsoku/>
              <w:wordWrap/>
              <w:overflowPunct/>
              <w:topLinePunct w:val="0"/>
              <w:autoSpaceDE/>
              <w:autoSpaceDN/>
              <w:bidi w:val="0"/>
              <w:adjustRightInd/>
              <w:snapToGrid/>
              <w:spacing w:line="20" w:lineRule="atLeast"/>
              <w:jc w:val="both"/>
              <w:textAlignment w:val="auto"/>
              <w:rPr>
                <w:rFonts w:hint="eastAsia" w:ascii="仿宋_GB2312" w:hAnsi="仿宋_GB2312" w:eastAsia="仿宋_GB2312" w:cs="仿宋_GB2312"/>
                <w:color w:val="000000"/>
                <w:sz w:val="24"/>
                <w:szCs w:val="24"/>
                <w:vertAlign w:val="baseline"/>
              </w:rPr>
            </w:pPr>
            <w:r>
              <w:rPr>
                <w:rFonts w:hint="eastAsia" w:ascii="仿宋_GB2312" w:hAnsi="仿宋_GB2312" w:eastAsia="仿宋_GB2312" w:cs="仿宋_GB2312"/>
                <w:color w:val="000000"/>
                <w:sz w:val="24"/>
                <w:szCs w:val="24"/>
                <w:vertAlign w:val="baseline"/>
              </w:rPr>
              <w:t>（四）具有同业机构相关专业4年以上任职经历；现任国有商业银行省级分行、地方法人城商行、农商行、股份制商业银行一级分行内设部门、分支机构相应层级岗位管理职务；且总行部门中层管理人员须具有2个及以上同层级管理岗位工作经历，其中综合部门中层管理人员须具有银行机构前台和中后台同层级管理岗位工作经历。</w:t>
            </w:r>
          </w:p>
          <w:p w14:paraId="24DA2FC0">
            <w:pPr>
              <w:keepNext w:val="0"/>
              <w:keepLines w:val="0"/>
              <w:pageBreakBefore w:val="0"/>
              <w:widowControl w:val="0"/>
              <w:kinsoku/>
              <w:wordWrap/>
              <w:overflowPunct/>
              <w:topLinePunct w:val="0"/>
              <w:autoSpaceDE/>
              <w:autoSpaceDN/>
              <w:bidi w:val="0"/>
              <w:adjustRightInd/>
              <w:snapToGrid/>
              <w:spacing w:line="20" w:lineRule="atLeast"/>
              <w:jc w:val="both"/>
              <w:textAlignment w:val="auto"/>
              <w:rPr>
                <w:rFonts w:hint="eastAsia" w:ascii="仿宋_GB2312" w:hAnsi="仿宋_GB2312" w:eastAsia="仿宋_GB2312" w:cs="仿宋_GB2312"/>
                <w:color w:val="000000"/>
                <w:sz w:val="24"/>
                <w:szCs w:val="24"/>
                <w:vertAlign w:val="baseline"/>
              </w:rPr>
            </w:pPr>
            <w:r>
              <w:rPr>
                <w:rFonts w:hint="eastAsia" w:ascii="仿宋_GB2312" w:hAnsi="仿宋_GB2312" w:eastAsia="仿宋_GB2312" w:cs="仿宋_GB2312"/>
                <w:color w:val="000000"/>
                <w:sz w:val="24"/>
                <w:szCs w:val="24"/>
                <w:vertAlign w:val="baseline"/>
              </w:rPr>
              <w:t xml:space="preserve">（五）熟悉并遵守经济、金融法律法规，品行端正，具备良好的专业素质、沟通协调能力和团队管理经验，工作业绩突出，认同我行企业文化及核心价值观。 </w:t>
            </w:r>
          </w:p>
          <w:p w14:paraId="6834FC84">
            <w:pPr>
              <w:keepNext w:val="0"/>
              <w:keepLines w:val="0"/>
              <w:pageBreakBefore w:val="0"/>
              <w:widowControl w:val="0"/>
              <w:kinsoku/>
              <w:wordWrap/>
              <w:overflowPunct/>
              <w:topLinePunct w:val="0"/>
              <w:autoSpaceDE/>
              <w:autoSpaceDN/>
              <w:bidi w:val="0"/>
              <w:adjustRightInd/>
              <w:snapToGrid/>
              <w:spacing w:line="20" w:lineRule="atLeast"/>
              <w:jc w:val="both"/>
              <w:textAlignment w:val="auto"/>
              <w:rPr>
                <w:rFonts w:hint="eastAsia" w:ascii="仿宋_GB2312" w:hAnsi="仿宋_GB2312" w:eastAsia="仿宋_GB2312" w:cs="仿宋_GB2312"/>
                <w:color w:val="000000"/>
                <w:sz w:val="24"/>
                <w:szCs w:val="24"/>
                <w:vertAlign w:val="baseline"/>
              </w:rPr>
            </w:pPr>
            <w:r>
              <w:rPr>
                <w:rFonts w:hint="eastAsia" w:ascii="仿宋_GB2312" w:hAnsi="仿宋_GB2312" w:eastAsia="仿宋_GB2312" w:cs="仿宋_GB2312"/>
                <w:color w:val="000000"/>
                <w:sz w:val="24"/>
                <w:szCs w:val="24"/>
                <w:vertAlign w:val="baseline"/>
              </w:rPr>
              <w:t xml:space="preserve">（六）符合本行亲属回避要求。 </w:t>
            </w:r>
          </w:p>
          <w:p w14:paraId="047A4B72">
            <w:pPr>
              <w:keepNext w:val="0"/>
              <w:keepLines w:val="0"/>
              <w:pageBreakBefore w:val="0"/>
              <w:widowControl w:val="0"/>
              <w:kinsoku/>
              <w:wordWrap/>
              <w:overflowPunct/>
              <w:topLinePunct w:val="0"/>
              <w:autoSpaceDE/>
              <w:autoSpaceDN/>
              <w:bidi w:val="0"/>
              <w:adjustRightInd/>
              <w:snapToGrid/>
              <w:spacing w:line="20" w:lineRule="atLeast"/>
              <w:jc w:val="both"/>
              <w:textAlignment w:val="auto"/>
              <w:rPr>
                <w:rFonts w:hint="eastAsia" w:ascii="仿宋_GB2312" w:hAnsi="仿宋_GB2312" w:eastAsia="仿宋_GB2312" w:cs="仿宋_GB2312"/>
                <w:color w:val="000000"/>
                <w:sz w:val="24"/>
                <w:szCs w:val="24"/>
                <w:vertAlign w:val="baseline"/>
              </w:rPr>
            </w:pPr>
            <w:r>
              <w:rPr>
                <w:rFonts w:hint="eastAsia" w:ascii="仿宋_GB2312" w:hAnsi="仿宋_GB2312" w:eastAsia="仿宋_GB2312" w:cs="仿宋_GB2312"/>
                <w:color w:val="000000"/>
                <w:sz w:val="24"/>
                <w:szCs w:val="24"/>
                <w:vertAlign w:val="baseline"/>
              </w:rPr>
              <w:t xml:space="preserve">（七）监管另有要求的岗位任职资格条件，按照监管要求执行。 </w:t>
            </w:r>
          </w:p>
          <w:p w14:paraId="46E5F360">
            <w:pPr>
              <w:keepNext w:val="0"/>
              <w:keepLines w:val="0"/>
              <w:pageBreakBefore w:val="0"/>
              <w:widowControl w:val="0"/>
              <w:kinsoku/>
              <w:wordWrap/>
              <w:overflowPunct/>
              <w:topLinePunct w:val="0"/>
              <w:autoSpaceDE/>
              <w:autoSpaceDN/>
              <w:bidi w:val="0"/>
              <w:adjustRightInd/>
              <w:snapToGrid/>
              <w:spacing w:line="20" w:lineRule="atLeast"/>
              <w:jc w:val="both"/>
              <w:textAlignment w:val="auto"/>
              <w:rPr>
                <w:rFonts w:hint="eastAsia" w:ascii="仿宋_GB2312" w:hAnsi="仿宋_GB2312" w:eastAsia="仿宋_GB2312" w:cs="仿宋_GB2312"/>
                <w:color w:val="000000"/>
                <w:sz w:val="24"/>
                <w:szCs w:val="24"/>
                <w:vertAlign w:val="baseline"/>
              </w:rPr>
            </w:pPr>
            <w:r>
              <w:rPr>
                <w:rFonts w:hint="eastAsia" w:ascii="仿宋_GB2312" w:hAnsi="仿宋_GB2312" w:eastAsia="仿宋_GB2312" w:cs="仿宋_GB2312"/>
                <w:color w:val="000000"/>
                <w:sz w:val="24"/>
                <w:szCs w:val="24"/>
                <w:vertAlign w:val="baseline"/>
              </w:rPr>
              <w:t>（八）有下列情形之一的不得报名应聘：</w:t>
            </w:r>
          </w:p>
          <w:p w14:paraId="7692E095">
            <w:pPr>
              <w:keepNext w:val="0"/>
              <w:keepLines w:val="0"/>
              <w:pageBreakBefore w:val="0"/>
              <w:widowControl w:val="0"/>
              <w:kinsoku/>
              <w:wordWrap/>
              <w:overflowPunct/>
              <w:topLinePunct w:val="0"/>
              <w:autoSpaceDE/>
              <w:autoSpaceDN/>
              <w:bidi w:val="0"/>
              <w:adjustRightInd/>
              <w:snapToGrid/>
              <w:spacing w:line="20" w:lineRule="atLeast"/>
              <w:jc w:val="both"/>
              <w:textAlignment w:val="auto"/>
              <w:rPr>
                <w:rFonts w:hint="eastAsia" w:ascii="仿宋_GB2312" w:hAnsi="仿宋_GB2312" w:eastAsia="仿宋_GB2312" w:cs="仿宋_GB2312"/>
                <w:color w:val="000000"/>
                <w:sz w:val="24"/>
                <w:szCs w:val="24"/>
                <w:vertAlign w:val="baseline"/>
              </w:rPr>
            </w:pPr>
            <w:r>
              <w:rPr>
                <w:rFonts w:hint="eastAsia" w:ascii="仿宋_GB2312" w:hAnsi="仿宋_GB2312" w:eastAsia="仿宋_GB2312" w:cs="仿宋_GB2312"/>
                <w:color w:val="000000"/>
                <w:sz w:val="24"/>
                <w:szCs w:val="24"/>
                <w:vertAlign w:val="baseline"/>
              </w:rPr>
              <w:t>1. 曾因犯罪受过刑事处罚或因违规违纪被开除的；</w:t>
            </w:r>
          </w:p>
          <w:p w14:paraId="714A36D9">
            <w:pPr>
              <w:keepNext w:val="0"/>
              <w:keepLines w:val="0"/>
              <w:pageBreakBefore w:val="0"/>
              <w:widowControl w:val="0"/>
              <w:kinsoku/>
              <w:wordWrap/>
              <w:overflowPunct/>
              <w:topLinePunct w:val="0"/>
              <w:autoSpaceDE/>
              <w:autoSpaceDN/>
              <w:bidi w:val="0"/>
              <w:adjustRightInd/>
              <w:snapToGrid/>
              <w:spacing w:line="20" w:lineRule="atLeast"/>
              <w:jc w:val="both"/>
              <w:textAlignment w:val="auto"/>
              <w:rPr>
                <w:rFonts w:hint="eastAsia" w:ascii="仿宋_GB2312" w:hAnsi="仿宋_GB2312" w:eastAsia="仿宋_GB2312" w:cs="仿宋_GB2312"/>
                <w:color w:val="000000"/>
                <w:sz w:val="24"/>
                <w:szCs w:val="24"/>
                <w:vertAlign w:val="baseline"/>
              </w:rPr>
            </w:pPr>
            <w:r>
              <w:rPr>
                <w:rFonts w:hint="eastAsia" w:ascii="仿宋_GB2312" w:hAnsi="仿宋_GB2312" w:eastAsia="仿宋_GB2312" w:cs="仿宋_GB2312"/>
                <w:color w:val="000000"/>
                <w:sz w:val="24"/>
                <w:szCs w:val="24"/>
                <w:vertAlign w:val="baseline"/>
              </w:rPr>
              <w:t>2. 尚在党纪政务处分和组织处理影响期内以及收到有关问题线索正在核查期间的；</w:t>
            </w:r>
          </w:p>
          <w:p w14:paraId="109FDC4D">
            <w:pPr>
              <w:keepNext w:val="0"/>
              <w:keepLines w:val="0"/>
              <w:pageBreakBefore w:val="0"/>
              <w:widowControl w:val="0"/>
              <w:kinsoku/>
              <w:wordWrap/>
              <w:overflowPunct/>
              <w:topLinePunct w:val="0"/>
              <w:autoSpaceDE/>
              <w:autoSpaceDN/>
              <w:bidi w:val="0"/>
              <w:adjustRightInd/>
              <w:snapToGrid/>
              <w:spacing w:line="20" w:lineRule="atLeast"/>
              <w:jc w:val="both"/>
              <w:textAlignment w:val="auto"/>
              <w:rPr>
                <w:rFonts w:hint="eastAsia" w:ascii="仿宋_GB2312" w:hAnsi="仿宋_GB2312" w:eastAsia="仿宋_GB2312" w:cs="仿宋_GB2312"/>
                <w:color w:val="000000"/>
                <w:sz w:val="24"/>
                <w:szCs w:val="24"/>
                <w:vertAlign w:val="baseline"/>
              </w:rPr>
            </w:pPr>
            <w:r>
              <w:rPr>
                <w:rFonts w:hint="eastAsia" w:ascii="仿宋_GB2312" w:hAnsi="仿宋_GB2312" w:eastAsia="仿宋_GB2312" w:cs="仿宋_GB2312"/>
                <w:color w:val="000000"/>
                <w:sz w:val="24"/>
                <w:szCs w:val="24"/>
                <w:vertAlign w:val="baseline"/>
              </w:rPr>
              <w:t>3. 在公务员、事业单位及国企等其他招录中违规违纪的， 在禁考期限内的；</w:t>
            </w:r>
          </w:p>
          <w:p w14:paraId="5535815A">
            <w:pPr>
              <w:keepNext w:val="0"/>
              <w:keepLines w:val="0"/>
              <w:pageBreakBefore w:val="0"/>
              <w:widowControl w:val="0"/>
              <w:kinsoku/>
              <w:wordWrap/>
              <w:overflowPunct/>
              <w:topLinePunct w:val="0"/>
              <w:autoSpaceDE/>
              <w:autoSpaceDN/>
              <w:bidi w:val="0"/>
              <w:adjustRightInd/>
              <w:snapToGrid/>
              <w:spacing w:line="20" w:lineRule="atLeast"/>
              <w:jc w:val="both"/>
              <w:textAlignment w:val="auto"/>
              <w:rPr>
                <w:rFonts w:hint="eastAsia" w:ascii="仿宋_GB2312" w:hAnsi="仿宋_GB2312" w:eastAsia="仿宋_GB2312" w:cs="仿宋_GB2312"/>
                <w:color w:val="000000"/>
                <w:sz w:val="24"/>
                <w:szCs w:val="24"/>
                <w:vertAlign w:val="baseline"/>
              </w:rPr>
            </w:pPr>
            <w:r>
              <w:rPr>
                <w:rFonts w:hint="eastAsia" w:ascii="仿宋_GB2312" w:hAnsi="仿宋_GB2312" w:eastAsia="仿宋_GB2312" w:cs="仿宋_GB2312"/>
                <w:color w:val="000000"/>
                <w:sz w:val="24"/>
                <w:szCs w:val="24"/>
                <w:vertAlign w:val="baseline"/>
              </w:rPr>
              <w:t>4. 失信被执行人；</w:t>
            </w:r>
          </w:p>
          <w:p w14:paraId="10D1753E">
            <w:pPr>
              <w:keepNext w:val="0"/>
              <w:keepLines w:val="0"/>
              <w:pageBreakBefore w:val="0"/>
              <w:widowControl w:val="0"/>
              <w:kinsoku/>
              <w:wordWrap/>
              <w:overflowPunct/>
              <w:topLinePunct w:val="0"/>
              <w:autoSpaceDE/>
              <w:autoSpaceDN/>
              <w:bidi w:val="0"/>
              <w:adjustRightInd/>
              <w:snapToGrid/>
              <w:spacing w:line="20" w:lineRule="atLeast"/>
              <w:jc w:val="both"/>
              <w:textAlignment w:val="auto"/>
              <w:rPr>
                <w:rFonts w:hint="eastAsia" w:ascii="仿宋_GB2312" w:hAnsi="仿宋_GB2312" w:eastAsia="仿宋_GB2312" w:cs="仿宋_GB2312"/>
                <w:color w:val="000000"/>
                <w:sz w:val="24"/>
                <w:szCs w:val="24"/>
                <w:vertAlign w:val="baseline"/>
              </w:rPr>
            </w:pPr>
            <w:r>
              <w:rPr>
                <w:rFonts w:hint="eastAsia" w:ascii="仿宋_GB2312" w:hAnsi="仿宋_GB2312" w:eastAsia="仿宋_GB2312" w:cs="仿宋_GB2312"/>
                <w:color w:val="000000"/>
                <w:sz w:val="24"/>
                <w:szCs w:val="24"/>
                <w:vertAlign w:val="baseline"/>
              </w:rPr>
              <w:t>5. 法律法规及有关政策规定的不符合招聘条件的；</w:t>
            </w:r>
          </w:p>
          <w:p w14:paraId="05D98DF5">
            <w:pPr>
              <w:keepNext w:val="0"/>
              <w:keepLines w:val="0"/>
              <w:pageBreakBefore w:val="0"/>
              <w:widowControl w:val="0"/>
              <w:kinsoku/>
              <w:wordWrap/>
              <w:overflowPunct/>
              <w:topLinePunct w:val="0"/>
              <w:autoSpaceDE/>
              <w:autoSpaceDN/>
              <w:bidi w:val="0"/>
              <w:adjustRightInd/>
              <w:snapToGrid/>
              <w:spacing w:line="20" w:lineRule="atLeast"/>
              <w:jc w:val="both"/>
              <w:textAlignment w:val="auto"/>
              <w:rPr>
                <w:rFonts w:hint="eastAsia" w:ascii="仿宋_GB2312" w:hAnsi="仿宋_GB2312" w:eastAsia="仿宋_GB2312" w:cs="仿宋_GB2312"/>
                <w:color w:val="000000"/>
                <w:sz w:val="24"/>
                <w:szCs w:val="24"/>
                <w:vertAlign w:val="baseline"/>
              </w:rPr>
            </w:pPr>
            <w:r>
              <w:rPr>
                <w:rFonts w:hint="eastAsia" w:ascii="仿宋_GB2312" w:hAnsi="仿宋_GB2312" w:eastAsia="仿宋_GB2312" w:cs="仿宋_GB2312"/>
                <w:color w:val="000000"/>
                <w:sz w:val="24"/>
                <w:szCs w:val="24"/>
                <w:vertAlign w:val="baseline"/>
              </w:rPr>
              <w:t>6. 身体状况不符合岗位要求的；</w:t>
            </w:r>
          </w:p>
          <w:p w14:paraId="108B6E7A">
            <w:pPr>
              <w:keepNext w:val="0"/>
              <w:keepLines w:val="0"/>
              <w:pageBreakBefore w:val="0"/>
              <w:widowControl w:val="0"/>
              <w:kinsoku/>
              <w:wordWrap/>
              <w:overflowPunct/>
              <w:topLinePunct w:val="0"/>
              <w:autoSpaceDE/>
              <w:autoSpaceDN/>
              <w:bidi w:val="0"/>
              <w:adjustRightInd/>
              <w:snapToGrid/>
              <w:spacing w:line="20" w:lineRule="atLeast"/>
              <w:jc w:val="both"/>
              <w:textAlignment w:val="auto"/>
              <w:rPr>
                <w:rFonts w:hint="eastAsia" w:ascii="仿宋_GB2312" w:hAnsi="仿宋_GB2312" w:eastAsia="仿宋_GB2312" w:cs="仿宋_GB2312"/>
                <w:color w:val="000000"/>
                <w:sz w:val="24"/>
                <w:szCs w:val="24"/>
                <w:vertAlign w:val="baseline"/>
              </w:rPr>
            </w:pPr>
            <w:r>
              <w:rPr>
                <w:rFonts w:hint="eastAsia" w:ascii="仿宋_GB2312" w:hAnsi="仿宋_GB2312" w:eastAsia="仿宋_GB2312" w:cs="仿宋_GB2312"/>
                <w:color w:val="000000"/>
                <w:sz w:val="24"/>
                <w:szCs w:val="24"/>
                <w:vertAlign w:val="baseline"/>
              </w:rPr>
              <w:t>7. 其他不宜报名的情形。</w:t>
            </w:r>
          </w:p>
        </w:tc>
        <w:tc>
          <w:tcPr>
            <w:tcW w:w="3516" w:type="dxa"/>
            <w:vAlign w:val="center"/>
          </w:tcPr>
          <w:p w14:paraId="486BBDB0">
            <w:pPr>
              <w:keepNext w:val="0"/>
              <w:keepLines w:val="0"/>
              <w:pageBreakBefore w:val="0"/>
              <w:widowControl w:val="0"/>
              <w:kinsoku/>
              <w:wordWrap/>
              <w:overflowPunct/>
              <w:topLinePunct w:val="0"/>
              <w:autoSpaceDE/>
              <w:autoSpaceDN/>
              <w:bidi w:val="0"/>
              <w:adjustRightInd/>
              <w:snapToGrid/>
              <w:spacing w:line="20" w:lineRule="atLeast"/>
              <w:ind w:firstLine="480" w:firstLineChars="200"/>
              <w:jc w:val="left"/>
              <w:textAlignment w:val="auto"/>
              <w:rPr>
                <w:rFonts w:hint="eastAsia" w:ascii="仿宋_GB2312" w:hAnsi="仿宋_GB2312" w:eastAsia="仿宋_GB2312" w:cs="仿宋_GB2312"/>
                <w:color w:val="000000"/>
                <w:sz w:val="24"/>
                <w:szCs w:val="24"/>
                <w:vertAlign w:val="baseline"/>
              </w:rPr>
            </w:pPr>
            <w:r>
              <w:rPr>
                <w:rFonts w:hint="eastAsia" w:ascii="仿宋_GB2312" w:hAnsi="仿宋_GB2312" w:eastAsia="仿宋_GB2312" w:cs="仿宋_GB2312"/>
                <w:color w:val="000000"/>
                <w:sz w:val="24"/>
                <w:szCs w:val="24"/>
                <w:vertAlign w:val="baseline"/>
                <w:lang w:val="en-US" w:eastAsia="zh-CN"/>
              </w:rPr>
              <w:t>熟悉商业银行公司业务产品及流程，了解区域经济环境、产业状况、产业政策以及市场客户情况，具有较强的沟通协调、业务拓展及管理经验，有较为丰富的市场客户资源。</w:t>
            </w:r>
          </w:p>
        </w:tc>
        <w:tc>
          <w:tcPr>
            <w:tcW w:w="700" w:type="dxa"/>
            <w:vAlign w:val="center"/>
          </w:tcPr>
          <w:p w14:paraId="5DA561CC">
            <w:pPr>
              <w:keepNext w:val="0"/>
              <w:keepLines w:val="0"/>
              <w:pageBreakBefore w:val="0"/>
              <w:widowControl w:val="0"/>
              <w:kinsoku/>
              <w:wordWrap/>
              <w:overflowPunct/>
              <w:topLinePunct w:val="0"/>
              <w:autoSpaceDE/>
              <w:autoSpaceDN/>
              <w:bidi w:val="0"/>
              <w:adjustRightInd/>
              <w:snapToGrid/>
              <w:spacing w:line="20" w:lineRule="atLeast"/>
              <w:jc w:val="both"/>
              <w:textAlignment w:val="auto"/>
              <w:rPr>
                <w:rFonts w:hint="default" w:ascii="仿宋_GB2312" w:hAnsi="仿宋_GB2312" w:eastAsia="仿宋_GB2312" w:cs="仿宋_GB2312"/>
                <w:color w:val="000000"/>
                <w:sz w:val="24"/>
                <w:szCs w:val="24"/>
                <w:vertAlign w:val="baseline"/>
                <w:lang w:val="en-US" w:eastAsia="zh-CN"/>
              </w:rPr>
            </w:pPr>
            <w:r>
              <w:rPr>
                <w:rFonts w:hint="eastAsia" w:ascii="仿宋_GB2312" w:hAnsi="仿宋_GB2312" w:eastAsia="仿宋_GB2312" w:cs="仿宋_GB2312"/>
                <w:color w:val="000000"/>
                <w:sz w:val="24"/>
                <w:szCs w:val="24"/>
                <w:vertAlign w:val="baseline"/>
                <w:lang w:val="en-US" w:eastAsia="zh-CN"/>
              </w:rPr>
              <w:t>2人</w:t>
            </w:r>
          </w:p>
        </w:tc>
      </w:tr>
      <w:tr w14:paraId="662A38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77" w:hRule="atLeast"/>
        </w:trPr>
        <w:tc>
          <w:tcPr>
            <w:tcW w:w="350" w:type="dxa"/>
            <w:vAlign w:val="center"/>
          </w:tcPr>
          <w:p w14:paraId="786916BE">
            <w:pPr>
              <w:spacing w:line="500" w:lineRule="exact"/>
              <w:jc w:val="both"/>
              <w:rPr>
                <w:rFonts w:hint="eastAsia" w:ascii="仿宋_GB2312" w:hAnsi="仿宋_GB2312" w:eastAsia="仿宋_GB2312" w:cs="仿宋_GB2312"/>
                <w:color w:val="000000"/>
                <w:sz w:val="24"/>
                <w:szCs w:val="24"/>
                <w:vertAlign w:val="baseline"/>
                <w:lang w:val="en-US" w:eastAsia="zh-CN"/>
              </w:rPr>
            </w:pPr>
            <w:r>
              <w:rPr>
                <w:rFonts w:hint="eastAsia" w:ascii="仿宋_GB2312" w:hAnsi="仿宋_GB2312" w:eastAsia="仿宋_GB2312" w:cs="仿宋_GB2312"/>
                <w:color w:val="000000"/>
                <w:sz w:val="24"/>
                <w:szCs w:val="24"/>
                <w:vertAlign w:val="baseline"/>
                <w:lang w:val="en-US" w:eastAsia="zh-CN"/>
              </w:rPr>
              <w:t>2</w:t>
            </w:r>
          </w:p>
        </w:tc>
        <w:tc>
          <w:tcPr>
            <w:tcW w:w="851" w:type="dxa"/>
            <w:vMerge w:val="continue"/>
            <w:vAlign w:val="center"/>
          </w:tcPr>
          <w:p w14:paraId="16945394">
            <w:pPr>
              <w:spacing w:line="500" w:lineRule="exact"/>
              <w:jc w:val="both"/>
              <w:rPr>
                <w:rFonts w:hint="eastAsia" w:ascii="仿宋_GB2312" w:hAnsi="仿宋_GB2312" w:eastAsia="仿宋_GB2312" w:cs="仿宋_GB2312"/>
                <w:color w:val="000000"/>
                <w:sz w:val="24"/>
                <w:szCs w:val="24"/>
                <w:vertAlign w:val="baseline"/>
                <w:lang w:val="en-US" w:eastAsia="zh-CN"/>
              </w:rPr>
            </w:pPr>
          </w:p>
        </w:tc>
        <w:tc>
          <w:tcPr>
            <w:tcW w:w="1725" w:type="dxa"/>
            <w:vAlign w:val="center"/>
          </w:tcPr>
          <w:p w14:paraId="4C3241A0">
            <w:pPr>
              <w:keepNext w:val="0"/>
              <w:keepLines w:val="0"/>
              <w:pageBreakBefore w:val="0"/>
              <w:widowControl w:val="0"/>
              <w:kinsoku/>
              <w:wordWrap/>
              <w:overflowPunct/>
              <w:topLinePunct w:val="0"/>
              <w:autoSpaceDE/>
              <w:autoSpaceDN/>
              <w:bidi w:val="0"/>
              <w:adjustRightInd/>
              <w:snapToGrid/>
              <w:spacing w:line="20" w:lineRule="atLeast"/>
              <w:jc w:val="both"/>
              <w:textAlignment w:val="auto"/>
              <w:rPr>
                <w:rFonts w:hint="eastAsia" w:ascii="仿宋_GB2312" w:hAnsi="仿宋_GB2312" w:eastAsia="仿宋_GB2312" w:cs="仿宋_GB2312"/>
                <w:color w:val="000000"/>
                <w:sz w:val="24"/>
                <w:szCs w:val="24"/>
                <w:vertAlign w:val="baseline"/>
              </w:rPr>
            </w:pPr>
            <w:r>
              <w:rPr>
                <w:rFonts w:hint="eastAsia" w:ascii="仿宋_GB2312" w:hAnsi="仿宋_GB2312" w:eastAsia="仿宋_GB2312" w:cs="仿宋_GB2312"/>
                <w:sz w:val="24"/>
                <w:szCs w:val="24"/>
                <w:lang w:val="en-US" w:eastAsia="zh-CN"/>
              </w:rPr>
              <w:t>零售业务板块中层岗位</w:t>
            </w:r>
          </w:p>
        </w:tc>
        <w:tc>
          <w:tcPr>
            <w:tcW w:w="2141" w:type="dxa"/>
            <w:vMerge w:val="continue"/>
            <w:vAlign w:val="center"/>
          </w:tcPr>
          <w:p w14:paraId="46B5D927">
            <w:pPr>
              <w:keepNext w:val="0"/>
              <w:keepLines w:val="0"/>
              <w:pageBreakBefore w:val="0"/>
              <w:widowControl w:val="0"/>
              <w:kinsoku/>
              <w:wordWrap/>
              <w:overflowPunct/>
              <w:topLinePunct w:val="0"/>
              <w:autoSpaceDE/>
              <w:autoSpaceDN/>
              <w:bidi w:val="0"/>
              <w:adjustRightInd/>
              <w:snapToGrid/>
              <w:spacing w:line="20" w:lineRule="atLeast"/>
              <w:jc w:val="both"/>
              <w:textAlignment w:val="auto"/>
              <w:rPr>
                <w:rFonts w:hint="eastAsia" w:ascii="仿宋_GB2312" w:hAnsi="仿宋_GB2312" w:eastAsia="仿宋_GB2312" w:cs="仿宋_GB2312"/>
                <w:color w:val="000000"/>
                <w:sz w:val="24"/>
                <w:szCs w:val="24"/>
                <w:vertAlign w:val="baseline"/>
              </w:rPr>
            </w:pPr>
          </w:p>
        </w:tc>
        <w:tc>
          <w:tcPr>
            <w:tcW w:w="3516" w:type="dxa"/>
            <w:vAlign w:val="center"/>
          </w:tcPr>
          <w:p w14:paraId="387FB3B1">
            <w:pPr>
              <w:keepNext w:val="0"/>
              <w:keepLines w:val="0"/>
              <w:pageBreakBefore w:val="0"/>
              <w:widowControl w:val="0"/>
              <w:kinsoku/>
              <w:wordWrap/>
              <w:overflowPunct/>
              <w:topLinePunct w:val="0"/>
              <w:autoSpaceDE/>
              <w:autoSpaceDN/>
              <w:bidi w:val="0"/>
              <w:adjustRightInd/>
              <w:snapToGrid/>
              <w:spacing w:line="20" w:lineRule="atLeast"/>
              <w:ind w:firstLine="480" w:firstLineChars="200"/>
              <w:jc w:val="left"/>
              <w:textAlignment w:val="auto"/>
              <w:rPr>
                <w:rFonts w:hint="eastAsia" w:ascii="仿宋_GB2312" w:hAnsi="仿宋_GB2312" w:eastAsia="仿宋_GB2312" w:cs="仿宋_GB2312"/>
                <w:color w:val="000000"/>
                <w:sz w:val="24"/>
                <w:szCs w:val="24"/>
                <w:vertAlign w:val="baseline"/>
              </w:rPr>
            </w:pPr>
            <w:r>
              <w:rPr>
                <w:rFonts w:hint="eastAsia" w:ascii="仿宋_GB2312" w:hAnsi="仿宋_GB2312" w:eastAsia="仿宋_GB2312" w:cs="仿宋_GB2312"/>
                <w:color w:val="000000"/>
                <w:sz w:val="24"/>
                <w:szCs w:val="24"/>
                <w:vertAlign w:val="baseline"/>
                <w:lang w:val="en-US" w:eastAsia="zh-CN"/>
              </w:rPr>
              <w:t>熟悉商业银行零售业务产品及流程，掌握客户关系管理、营销策划及产品管理知识及技能，具有较强的业务拓展能力及管理经验，有较为丰富的市场客户资源。</w:t>
            </w:r>
          </w:p>
        </w:tc>
        <w:tc>
          <w:tcPr>
            <w:tcW w:w="700" w:type="dxa"/>
            <w:vAlign w:val="center"/>
          </w:tcPr>
          <w:p w14:paraId="0717F7BE">
            <w:pPr>
              <w:keepNext w:val="0"/>
              <w:keepLines w:val="0"/>
              <w:pageBreakBefore w:val="0"/>
              <w:widowControl w:val="0"/>
              <w:kinsoku/>
              <w:wordWrap/>
              <w:overflowPunct/>
              <w:topLinePunct w:val="0"/>
              <w:autoSpaceDE/>
              <w:autoSpaceDN/>
              <w:bidi w:val="0"/>
              <w:adjustRightInd/>
              <w:snapToGrid/>
              <w:spacing w:line="20" w:lineRule="atLeast"/>
              <w:jc w:val="both"/>
              <w:textAlignment w:val="auto"/>
              <w:rPr>
                <w:rFonts w:hint="default"/>
                <w:lang w:val="en-US" w:eastAsia="zh-CN"/>
              </w:rPr>
            </w:pPr>
            <w:r>
              <w:rPr>
                <w:rFonts w:hint="eastAsia" w:ascii="仿宋_GB2312" w:hAnsi="仿宋_GB2312" w:eastAsia="仿宋_GB2312" w:cs="仿宋_GB2312"/>
                <w:color w:val="000000"/>
                <w:sz w:val="24"/>
                <w:szCs w:val="24"/>
                <w:vertAlign w:val="baseline"/>
                <w:lang w:val="en-US" w:eastAsia="zh-CN"/>
              </w:rPr>
              <w:t>1人</w:t>
            </w:r>
          </w:p>
        </w:tc>
      </w:tr>
      <w:tr w14:paraId="11A187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50" w:hRule="atLeast"/>
        </w:trPr>
        <w:tc>
          <w:tcPr>
            <w:tcW w:w="350" w:type="dxa"/>
            <w:vAlign w:val="center"/>
          </w:tcPr>
          <w:p w14:paraId="09B3A7C4">
            <w:pPr>
              <w:spacing w:line="500" w:lineRule="exact"/>
              <w:jc w:val="both"/>
              <w:rPr>
                <w:rFonts w:hint="eastAsia" w:ascii="仿宋_GB2312" w:hAnsi="仿宋_GB2312" w:eastAsia="仿宋_GB2312" w:cs="仿宋_GB2312"/>
                <w:color w:val="000000"/>
                <w:sz w:val="24"/>
                <w:szCs w:val="24"/>
                <w:vertAlign w:val="baseline"/>
                <w:lang w:val="en-US" w:eastAsia="zh-CN"/>
              </w:rPr>
            </w:pPr>
            <w:r>
              <w:rPr>
                <w:rFonts w:hint="eastAsia" w:ascii="仿宋_GB2312" w:hAnsi="仿宋_GB2312" w:eastAsia="仿宋_GB2312" w:cs="仿宋_GB2312"/>
                <w:color w:val="000000"/>
                <w:sz w:val="24"/>
                <w:szCs w:val="24"/>
                <w:vertAlign w:val="baseline"/>
                <w:lang w:val="en-US" w:eastAsia="zh-CN"/>
              </w:rPr>
              <w:t>3</w:t>
            </w:r>
          </w:p>
        </w:tc>
        <w:tc>
          <w:tcPr>
            <w:tcW w:w="851" w:type="dxa"/>
            <w:vMerge w:val="continue"/>
            <w:vAlign w:val="center"/>
          </w:tcPr>
          <w:p w14:paraId="029A9E13">
            <w:pPr>
              <w:spacing w:line="500" w:lineRule="exact"/>
              <w:jc w:val="both"/>
              <w:rPr>
                <w:rFonts w:hint="eastAsia" w:ascii="仿宋_GB2312" w:hAnsi="仿宋_GB2312" w:eastAsia="仿宋_GB2312" w:cs="仿宋_GB2312"/>
                <w:color w:val="000000"/>
                <w:sz w:val="24"/>
                <w:szCs w:val="24"/>
                <w:vertAlign w:val="baseline"/>
                <w:lang w:val="en-US" w:eastAsia="zh-CN"/>
              </w:rPr>
            </w:pPr>
          </w:p>
        </w:tc>
        <w:tc>
          <w:tcPr>
            <w:tcW w:w="1725" w:type="dxa"/>
            <w:vAlign w:val="center"/>
          </w:tcPr>
          <w:p w14:paraId="3990626A">
            <w:pPr>
              <w:keepNext w:val="0"/>
              <w:keepLines w:val="0"/>
              <w:pageBreakBefore w:val="0"/>
              <w:widowControl w:val="0"/>
              <w:kinsoku/>
              <w:wordWrap/>
              <w:overflowPunct/>
              <w:topLinePunct w:val="0"/>
              <w:autoSpaceDE/>
              <w:autoSpaceDN/>
              <w:bidi w:val="0"/>
              <w:adjustRightInd/>
              <w:snapToGrid/>
              <w:spacing w:line="20" w:lineRule="atLeast"/>
              <w:jc w:val="both"/>
              <w:textAlignment w:val="auto"/>
              <w:rPr>
                <w:rFonts w:hint="eastAsia" w:ascii="仿宋_GB2312" w:hAnsi="仿宋_GB2312" w:eastAsia="仿宋_GB2312" w:cs="仿宋_GB2312"/>
                <w:color w:val="000000"/>
                <w:sz w:val="24"/>
                <w:szCs w:val="24"/>
                <w:vertAlign w:val="baseline"/>
              </w:rPr>
            </w:pPr>
            <w:r>
              <w:rPr>
                <w:rFonts w:hint="eastAsia" w:ascii="仿宋_GB2312" w:hAnsi="仿宋_GB2312" w:eastAsia="仿宋_GB2312" w:cs="仿宋_GB2312"/>
                <w:sz w:val="24"/>
                <w:szCs w:val="24"/>
                <w:lang w:val="en-US" w:eastAsia="zh-CN"/>
              </w:rPr>
              <w:t>风险管理板块中层岗位</w:t>
            </w:r>
          </w:p>
        </w:tc>
        <w:tc>
          <w:tcPr>
            <w:tcW w:w="2141" w:type="dxa"/>
            <w:vMerge w:val="continue"/>
            <w:vAlign w:val="center"/>
          </w:tcPr>
          <w:p w14:paraId="5AB90943">
            <w:pPr>
              <w:keepNext w:val="0"/>
              <w:keepLines w:val="0"/>
              <w:pageBreakBefore w:val="0"/>
              <w:widowControl w:val="0"/>
              <w:kinsoku/>
              <w:wordWrap/>
              <w:overflowPunct/>
              <w:topLinePunct w:val="0"/>
              <w:autoSpaceDE/>
              <w:autoSpaceDN/>
              <w:bidi w:val="0"/>
              <w:adjustRightInd/>
              <w:snapToGrid/>
              <w:spacing w:line="20" w:lineRule="atLeast"/>
              <w:jc w:val="both"/>
              <w:textAlignment w:val="auto"/>
              <w:rPr>
                <w:rFonts w:hint="eastAsia" w:ascii="仿宋_GB2312" w:hAnsi="仿宋_GB2312" w:eastAsia="仿宋_GB2312" w:cs="仿宋_GB2312"/>
                <w:color w:val="000000"/>
                <w:sz w:val="24"/>
                <w:szCs w:val="24"/>
                <w:vertAlign w:val="baseline"/>
              </w:rPr>
            </w:pPr>
          </w:p>
        </w:tc>
        <w:tc>
          <w:tcPr>
            <w:tcW w:w="3516" w:type="dxa"/>
            <w:vAlign w:val="center"/>
          </w:tcPr>
          <w:p w14:paraId="2B5CD9C1">
            <w:pPr>
              <w:keepNext w:val="0"/>
              <w:keepLines w:val="0"/>
              <w:pageBreakBefore w:val="0"/>
              <w:widowControl w:val="0"/>
              <w:kinsoku/>
              <w:wordWrap/>
              <w:overflowPunct/>
              <w:topLinePunct w:val="0"/>
              <w:autoSpaceDE/>
              <w:autoSpaceDN/>
              <w:bidi w:val="0"/>
              <w:adjustRightInd/>
              <w:snapToGrid/>
              <w:spacing w:line="20" w:lineRule="atLeast"/>
              <w:ind w:firstLine="480" w:firstLineChars="200"/>
              <w:jc w:val="left"/>
              <w:textAlignment w:val="auto"/>
              <w:rPr>
                <w:rFonts w:hint="eastAsia" w:ascii="仿宋_GB2312" w:hAnsi="仿宋_GB2312" w:eastAsia="仿宋_GB2312" w:cs="仿宋_GB2312"/>
                <w:color w:val="000000"/>
                <w:sz w:val="24"/>
                <w:szCs w:val="24"/>
                <w:vertAlign w:val="baseline"/>
              </w:rPr>
            </w:pPr>
            <w:r>
              <w:rPr>
                <w:rFonts w:hint="eastAsia" w:ascii="仿宋_GB2312" w:hAnsi="仿宋_GB2312" w:eastAsia="仿宋_GB2312" w:cs="仿宋_GB2312"/>
                <w:color w:val="000000"/>
                <w:sz w:val="24"/>
                <w:szCs w:val="24"/>
                <w:vertAlign w:val="baseline"/>
                <w:lang w:val="en-US" w:eastAsia="zh-CN"/>
              </w:rPr>
              <w:t>熟悉商业银行风险管理政策、制度、流程，熟练掌握风险建模和数据分析理论知识及应用工具，具有一定的理论研究和文字综合能力。</w:t>
            </w:r>
          </w:p>
        </w:tc>
        <w:tc>
          <w:tcPr>
            <w:tcW w:w="700" w:type="dxa"/>
            <w:vAlign w:val="center"/>
          </w:tcPr>
          <w:p w14:paraId="2AF658A8">
            <w:pPr>
              <w:keepNext w:val="0"/>
              <w:keepLines w:val="0"/>
              <w:pageBreakBefore w:val="0"/>
              <w:widowControl w:val="0"/>
              <w:kinsoku/>
              <w:wordWrap/>
              <w:overflowPunct/>
              <w:topLinePunct w:val="0"/>
              <w:autoSpaceDE/>
              <w:autoSpaceDN/>
              <w:bidi w:val="0"/>
              <w:adjustRightInd/>
              <w:snapToGrid/>
              <w:spacing w:line="20" w:lineRule="atLeast"/>
              <w:jc w:val="both"/>
              <w:textAlignment w:val="auto"/>
              <w:rPr>
                <w:rFonts w:hint="default" w:ascii="仿宋_GB2312" w:hAnsi="仿宋_GB2312" w:eastAsia="仿宋_GB2312" w:cs="仿宋_GB2312"/>
                <w:color w:val="000000"/>
                <w:sz w:val="24"/>
                <w:szCs w:val="24"/>
                <w:vertAlign w:val="baseline"/>
                <w:lang w:val="en-US" w:eastAsia="zh-CN"/>
              </w:rPr>
            </w:pPr>
            <w:r>
              <w:rPr>
                <w:rFonts w:hint="eastAsia" w:ascii="仿宋_GB2312" w:hAnsi="仿宋_GB2312" w:eastAsia="仿宋_GB2312" w:cs="仿宋_GB2312"/>
                <w:color w:val="000000"/>
                <w:sz w:val="24"/>
                <w:szCs w:val="24"/>
                <w:vertAlign w:val="baseline"/>
                <w:lang w:val="en-US" w:eastAsia="zh-CN"/>
              </w:rPr>
              <w:t>1人</w:t>
            </w:r>
          </w:p>
        </w:tc>
      </w:tr>
      <w:tr w14:paraId="24DB30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62" w:hRule="atLeast"/>
        </w:trPr>
        <w:tc>
          <w:tcPr>
            <w:tcW w:w="350" w:type="dxa"/>
            <w:vAlign w:val="center"/>
          </w:tcPr>
          <w:p w14:paraId="2DB048DC">
            <w:pPr>
              <w:spacing w:line="500" w:lineRule="exact"/>
              <w:jc w:val="both"/>
              <w:rPr>
                <w:rFonts w:hint="eastAsia" w:ascii="仿宋_GB2312" w:hAnsi="仿宋_GB2312" w:eastAsia="仿宋_GB2312" w:cs="仿宋_GB2312"/>
                <w:color w:val="000000"/>
                <w:sz w:val="24"/>
                <w:szCs w:val="24"/>
                <w:vertAlign w:val="baseline"/>
                <w:lang w:val="en-US" w:eastAsia="zh-CN"/>
              </w:rPr>
            </w:pPr>
            <w:r>
              <w:rPr>
                <w:rFonts w:hint="eastAsia" w:ascii="仿宋_GB2312" w:hAnsi="仿宋_GB2312" w:eastAsia="仿宋_GB2312" w:cs="仿宋_GB2312"/>
                <w:color w:val="000000"/>
                <w:sz w:val="24"/>
                <w:szCs w:val="24"/>
                <w:vertAlign w:val="baseline"/>
                <w:lang w:val="en-US" w:eastAsia="zh-CN"/>
              </w:rPr>
              <w:t>4</w:t>
            </w:r>
          </w:p>
        </w:tc>
        <w:tc>
          <w:tcPr>
            <w:tcW w:w="851" w:type="dxa"/>
            <w:vMerge w:val="continue"/>
            <w:vAlign w:val="center"/>
          </w:tcPr>
          <w:p w14:paraId="346A16E1">
            <w:pPr>
              <w:spacing w:line="500" w:lineRule="exact"/>
              <w:jc w:val="both"/>
              <w:rPr>
                <w:rFonts w:hint="eastAsia" w:ascii="仿宋_GB2312" w:hAnsi="仿宋_GB2312" w:eastAsia="仿宋_GB2312" w:cs="仿宋_GB2312"/>
                <w:color w:val="000000"/>
                <w:sz w:val="24"/>
                <w:szCs w:val="24"/>
                <w:vertAlign w:val="baseline"/>
                <w:lang w:val="en-US" w:eastAsia="zh-CN"/>
              </w:rPr>
            </w:pPr>
          </w:p>
        </w:tc>
        <w:tc>
          <w:tcPr>
            <w:tcW w:w="1725" w:type="dxa"/>
            <w:vAlign w:val="center"/>
          </w:tcPr>
          <w:p w14:paraId="1F6BC345">
            <w:pPr>
              <w:keepNext w:val="0"/>
              <w:keepLines w:val="0"/>
              <w:pageBreakBefore w:val="0"/>
              <w:widowControl w:val="0"/>
              <w:kinsoku/>
              <w:wordWrap/>
              <w:overflowPunct/>
              <w:topLinePunct w:val="0"/>
              <w:autoSpaceDE/>
              <w:autoSpaceDN/>
              <w:bidi w:val="0"/>
              <w:adjustRightInd/>
              <w:snapToGrid/>
              <w:spacing w:line="20" w:lineRule="atLeast"/>
              <w:jc w:val="both"/>
              <w:textAlignment w:val="auto"/>
              <w:rPr>
                <w:rFonts w:hint="eastAsia" w:ascii="仿宋_GB2312" w:hAnsi="仿宋_GB2312" w:eastAsia="仿宋_GB2312" w:cs="仿宋_GB2312"/>
                <w:color w:val="000000"/>
                <w:sz w:val="24"/>
                <w:szCs w:val="24"/>
                <w:vertAlign w:val="baseline"/>
              </w:rPr>
            </w:pPr>
            <w:r>
              <w:rPr>
                <w:rFonts w:hint="eastAsia" w:ascii="仿宋_GB2312" w:hAnsi="仿宋_GB2312" w:eastAsia="仿宋_GB2312" w:cs="仿宋_GB2312"/>
                <w:sz w:val="24"/>
                <w:szCs w:val="24"/>
                <w:lang w:val="en-US" w:eastAsia="zh-CN"/>
              </w:rPr>
              <w:t>综合行政板块中层岗位</w:t>
            </w:r>
          </w:p>
        </w:tc>
        <w:tc>
          <w:tcPr>
            <w:tcW w:w="2141" w:type="dxa"/>
            <w:vMerge w:val="continue"/>
            <w:vAlign w:val="center"/>
          </w:tcPr>
          <w:p w14:paraId="4D4E886B">
            <w:pPr>
              <w:keepNext w:val="0"/>
              <w:keepLines w:val="0"/>
              <w:pageBreakBefore w:val="0"/>
              <w:widowControl w:val="0"/>
              <w:kinsoku/>
              <w:wordWrap/>
              <w:overflowPunct/>
              <w:topLinePunct w:val="0"/>
              <w:autoSpaceDE/>
              <w:autoSpaceDN/>
              <w:bidi w:val="0"/>
              <w:adjustRightInd/>
              <w:snapToGrid/>
              <w:spacing w:line="20" w:lineRule="atLeast"/>
              <w:jc w:val="both"/>
              <w:textAlignment w:val="auto"/>
              <w:rPr>
                <w:rFonts w:hint="eastAsia" w:ascii="仿宋_GB2312" w:hAnsi="仿宋_GB2312" w:eastAsia="仿宋_GB2312" w:cs="仿宋_GB2312"/>
                <w:color w:val="000000"/>
                <w:sz w:val="24"/>
                <w:szCs w:val="24"/>
                <w:vertAlign w:val="baseline"/>
              </w:rPr>
            </w:pPr>
          </w:p>
        </w:tc>
        <w:tc>
          <w:tcPr>
            <w:tcW w:w="3516" w:type="dxa"/>
            <w:vAlign w:val="center"/>
          </w:tcPr>
          <w:p w14:paraId="1CC87B42">
            <w:pPr>
              <w:keepNext w:val="0"/>
              <w:keepLines w:val="0"/>
              <w:pageBreakBefore w:val="0"/>
              <w:widowControl w:val="0"/>
              <w:kinsoku/>
              <w:wordWrap/>
              <w:overflowPunct/>
              <w:topLinePunct w:val="0"/>
              <w:autoSpaceDE/>
              <w:autoSpaceDN/>
              <w:bidi w:val="0"/>
              <w:adjustRightInd/>
              <w:snapToGrid/>
              <w:spacing w:line="20" w:lineRule="atLeast"/>
              <w:ind w:firstLine="480" w:firstLineChars="200"/>
              <w:jc w:val="left"/>
              <w:textAlignment w:val="auto"/>
              <w:rPr>
                <w:rFonts w:hint="eastAsia" w:ascii="仿宋_GB2312" w:hAnsi="仿宋_GB2312" w:eastAsia="仿宋_GB2312" w:cs="仿宋_GB2312"/>
                <w:color w:val="000000"/>
                <w:sz w:val="24"/>
                <w:szCs w:val="24"/>
                <w:vertAlign w:val="baseline"/>
                <w:lang w:val="en-US" w:eastAsia="zh-CN"/>
              </w:rPr>
            </w:pPr>
            <w:r>
              <w:rPr>
                <w:rFonts w:hint="eastAsia" w:ascii="仿宋_GB2312" w:hAnsi="仿宋_GB2312" w:eastAsia="仿宋_GB2312" w:cs="仿宋_GB2312"/>
                <w:color w:val="000000"/>
                <w:sz w:val="24"/>
                <w:szCs w:val="24"/>
                <w:vertAlign w:val="baseline"/>
                <w:lang w:val="en-US" w:eastAsia="zh-CN"/>
              </w:rPr>
              <w:t>熟悉监管政策和商业银行内控管理体系，对商业银行整体业务有一定认识，具备较强的沟通协调、综合文字和执行力，具有流利的英语沟通表达能力。</w:t>
            </w:r>
          </w:p>
          <w:p w14:paraId="684D7A6F">
            <w:pPr>
              <w:keepNext w:val="0"/>
              <w:keepLines w:val="0"/>
              <w:pageBreakBefore w:val="0"/>
              <w:widowControl w:val="0"/>
              <w:kinsoku/>
              <w:wordWrap/>
              <w:overflowPunct/>
              <w:topLinePunct w:val="0"/>
              <w:autoSpaceDE/>
              <w:autoSpaceDN/>
              <w:bidi w:val="0"/>
              <w:adjustRightInd/>
              <w:snapToGrid/>
              <w:spacing w:line="20" w:lineRule="atLeast"/>
              <w:jc w:val="left"/>
              <w:textAlignment w:val="auto"/>
              <w:rPr>
                <w:rFonts w:hint="eastAsia" w:ascii="仿宋_GB2312" w:hAnsi="仿宋_GB2312" w:eastAsia="仿宋_GB2312" w:cs="仿宋_GB2312"/>
                <w:color w:val="000000"/>
                <w:sz w:val="24"/>
                <w:szCs w:val="24"/>
                <w:vertAlign w:val="baseline"/>
              </w:rPr>
            </w:pPr>
          </w:p>
        </w:tc>
        <w:tc>
          <w:tcPr>
            <w:tcW w:w="700" w:type="dxa"/>
            <w:vAlign w:val="center"/>
          </w:tcPr>
          <w:p w14:paraId="380BC9C9">
            <w:pPr>
              <w:keepNext w:val="0"/>
              <w:keepLines w:val="0"/>
              <w:pageBreakBefore w:val="0"/>
              <w:widowControl w:val="0"/>
              <w:kinsoku/>
              <w:wordWrap/>
              <w:overflowPunct/>
              <w:topLinePunct w:val="0"/>
              <w:autoSpaceDE/>
              <w:autoSpaceDN/>
              <w:bidi w:val="0"/>
              <w:adjustRightInd/>
              <w:snapToGrid/>
              <w:spacing w:line="20" w:lineRule="atLeast"/>
              <w:jc w:val="both"/>
              <w:textAlignment w:val="auto"/>
              <w:rPr>
                <w:rFonts w:hint="default" w:ascii="仿宋_GB2312" w:hAnsi="仿宋_GB2312" w:eastAsia="仿宋_GB2312" w:cs="仿宋_GB2312"/>
                <w:color w:val="000000"/>
                <w:sz w:val="24"/>
                <w:szCs w:val="24"/>
                <w:vertAlign w:val="baseline"/>
                <w:lang w:val="en-US" w:eastAsia="zh-CN"/>
              </w:rPr>
            </w:pPr>
            <w:r>
              <w:rPr>
                <w:rFonts w:hint="eastAsia" w:ascii="仿宋_GB2312" w:hAnsi="仿宋_GB2312" w:eastAsia="仿宋_GB2312" w:cs="仿宋_GB2312"/>
                <w:color w:val="000000"/>
                <w:sz w:val="24"/>
                <w:szCs w:val="24"/>
                <w:vertAlign w:val="baseline"/>
                <w:lang w:val="en-US" w:eastAsia="zh-CN"/>
              </w:rPr>
              <w:t>1人</w:t>
            </w:r>
          </w:p>
        </w:tc>
      </w:tr>
      <w:tr w14:paraId="69769A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72" w:hRule="atLeast"/>
        </w:trPr>
        <w:tc>
          <w:tcPr>
            <w:tcW w:w="350" w:type="dxa"/>
            <w:vAlign w:val="center"/>
          </w:tcPr>
          <w:p w14:paraId="5E815EBA">
            <w:pPr>
              <w:spacing w:line="500" w:lineRule="exact"/>
              <w:jc w:val="both"/>
              <w:rPr>
                <w:rFonts w:hint="eastAsia" w:ascii="仿宋_GB2312" w:hAnsi="仿宋_GB2312" w:eastAsia="仿宋_GB2312" w:cs="仿宋_GB2312"/>
                <w:color w:val="000000"/>
                <w:sz w:val="24"/>
                <w:szCs w:val="24"/>
                <w:vertAlign w:val="baseline"/>
                <w:lang w:val="en-US" w:eastAsia="zh-CN"/>
              </w:rPr>
            </w:pPr>
            <w:r>
              <w:rPr>
                <w:rFonts w:hint="eastAsia" w:ascii="仿宋_GB2312" w:hAnsi="仿宋_GB2312" w:eastAsia="仿宋_GB2312" w:cs="仿宋_GB2312"/>
                <w:color w:val="000000"/>
                <w:sz w:val="24"/>
                <w:szCs w:val="24"/>
                <w:vertAlign w:val="baseline"/>
                <w:lang w:val="en-US" w:eastAsia="zh-CN"/>
              </w:rPr>
              <w:t>5</w:t>
            </w:r>
          </w:p>
        </w:tc>
        <w:tc>
          <w:tcPr>
            <w:tcW w:w="851" w:type="dxa"/>
            <w:vMerge w:val="continue"/>
            <w:vAlign w:val="center"/>
          </w:tcPr>
          <w:p w14:paraId="39535F6B">
            <w:pPr>
              <w:spacing w:line="500" w:lineRule="exact"/>
              <w:jc w:val="both"/>
              <w:rPr>
                <w:rFonts w:hint="eastAsia" w:ascii="仿宋_GB2312" w:hAnsi="仿宋_GB2312" w:eastAsia="仿宋_GB2312" w:cs="仿宋_GB2312"/>
                <w:color w:val="000000"/>
                <w:sz w:val="24"/>
                <w:szCs w:val="24"/>
                <w:vertAlign w:val="baseline"/>
                <w:lang w:val="en-US" w:eastAsia="zh-CN"/>
              </w:rPr>
            </w:pPr>
          </w:p>
        </w:tc>
        <w:tc>
          <w:tcPr>
            <w:tcW w:w="1725" w:type="dxa"/>
            <w:vAlign w:val="center"/>
          </w:tcPr>
          <w:p w14:paraId="7AE27B43">
            <w:pPr>
              <w:keepNext w:val="0"/>
              <w:keepLines w:val="0"/>
              <w:pageBreakBefore w:val="0"/>
              <w:widowControl w:val="0"/>
              <w:kinsoku/>
              <w:wordWrap/>
              <w:overflowPunct/>
              <w:topLinePunct w:val="0"/>
              <w:autoSpaceDE/>
              <w:autoSpaceDN/>
              <w:bidi w:val="0"/>
              <w:adjustRightInd/>
              <w:snapToGrid/>
              <w:spacing w:line="20" w:lineRule="atLeast"/>
              <w:jc w:val="both"/>
              <w:textAlignment w:val="auto"/>
              <w:rPr>
                <w:rFonts w:hint="eastAsia" w:ascii="仿宋_GB2312" w:hAnsi="仿宋_GB2312" w:eastAsia="仿宋_GB2312" w:cs="仿宋_GB2312"/>
                <w:color w:val="000000"/>
                <w:sz w:val="24"/>
                <w:szCs w:val="24"/>
                <w:vertAlign w:val="baseline"/>
              </w:rPr>
            </w:pPr>
            <w:r>
              <w:rPr>
                <w:rFonts w:hint="eastAsia" w:ascii="仿宋_GB2312" w:hAnsi="仿宋_GB2312" w:eastAsia="仿宋_GB2312" w:cs="仿宋_GB2312"/>
                <w:color w:val="auto"/>
                <w:sz w:val="24"/>
                <w:szCs w:val="24"/>
                <w:highlight w:val="none"/>
                <w:lang w:val="en-US" w:eastAsia="zh-CN"/>
              </w:rPr>
              <w:t>金融市场板块</w:t>
            </w:r>
            <w:r>
              <w:rPr>
                <w:rFonts w:hint="eastAsia" w:ascii="仿宋_GB2312" w:hAnsi="仿宋_GB2312" w:eastAsia="仿宋_GB2312" w:cs="仿宋_GB2312"/>
                <w:sz w:val="24"/>
                <w:szCs w:val="24"/>
                <w:lang w:val="en-US" w:eastAsia="zh-CN"/>
              </w:rPr>
              <w:t>中层岗位</w:t>
            </w:r>
          </w:p>
        </w:tc>
        <w:tc>
          <w:tcPr>
            <w:tcW w:w="2141" w:type="dxa"/>
            <w:vMerge w:val="continue"/>
            <w:vAlign w:val="center"/>
          </w:tcPr>
          <w:p w14:paraId="3A25C89D">
            <w:pPr>
              <w:keepNext w:val="0"/>
              <w:keepLines w:val="0"/>
              <w:pageBreakBefore w:val="0"/>
              <w:widowControl w:val="0"/>
              <w:kinsoku/>
              <w:wordWrap/>
              <w:overflowPunct/>
              <w:topLinePunct w:val="0"/>
              <w:autoSpaceDE/>
              <w:autoSpaceDN/>
              <w:bidi w:val="0"/>
              <w:adjustRightInd/>
              <w:snapToGrid/>
              <w:spacing w:line="20" w:lineRule="atLeast"/>
              <w:jc w:val="both"/>
              <w:textAlignment w:val="auto"/>
              <w:rPr>
                <w:rFonts w:hint="eastAsia" w:ascii="仿宋_GB2312" w:hAnsi="仿宋_GB2312" w:eastAsia="仿宋_GB2312" w:cs="仿宋_GB2312"/>
                <w:color w:val="000000"/>
                <w:sz w:val="24"/>
                <w:szCs w:val="24"/>
                <w:vertAlign w:val="baseline"/>
              </w:rPr>
            </w:pPr>
          </w:p>
        </w:tc>
        <w:tc>
          <w:tcPr>
            <w:tcW w:w="3516" w:type="dxa"/>
            <w:vAlign w:val="center"/>
          </w:tcPr>
          <w:p w14:paraId="7DB3B7A3">
            <w:pPr>
              <w:keepNext w:val="0"/>
              <w:keepLines w:val="0"/>
              <w:pageBreakBefore w:val="0"/>
              <w:widowControl w:val="0"/>
              <w:kinsoku/>
              <w:wordWrap/>
              <w:overflowPunct/>
              <w:topLinePunct w:val="0"/>
              <w:autoSpaceDE/>
              <w:autoSpaceDN/>
              <w:bidi w:val="0"/>
              <w:adjustRightInd/>
              <w:snapToGrid/>
              <w:spacing w:line="20" w:lineRule="atLeast"/>
              <w:ind w:firstLine="480" w:firstLineChars="200"/>
              <w:jc w:val="left"/>
              <w:textAlignment w:val="auto"/>
              <w:rPr>
                <w:rFonts w:hint="eastAsia" w:ascii="仿宋_GB2312" w:hAnsi="仿宋_GB2312" w:eastAsia="仿宋_GB2312" w:cs="仿宋_GB2312"/>
                <w:color w:val="000000"/>
                <w:sz w:val="24"/>
                <w:szCs w:val="24"/>
                <w:vertAlign w:val="baseline"/>
              </w:rPr>
            </w:pPr>
            <w:r>
              <w:rPr>
                <w:rFonts w:hint="eastAsia" w:ascii="仿宋_GB2312" w:hAnsi="仿宋_GB2312" w:eastAsia="仿宋_GB2312" w:cs="仿宋_GB2312"/>
                <w:color w:val="000000"/>
                <w:sz w:val="24"/>
                <w:szCs w:val="24"/>
                <w:vertAlign w:val="baseline"/>
                <w:lang w:val="en-US" w:eastAsia="zh-CN"/>
              </w:rPr>
              <w:t>熟悉金融市场业务产品及运作模式，包括但不限于债券交易、同业业务、资产管理等。具备较强的市场分析和判断能力，能够准确把握市场动态和趋势。具有丰富的金融市场业务拓展经验和客户资源，能够带领团队开展业务创新和市场开拓。具备良好的风险管理意识和能力，能够有效控制业务风险。具有较强的团队管理和协调能力，能够激发团队活力，提升团队绩效。</w:t>
            </w:r>
          </w:p>
        </w:tc>
        <w:tc>
          <w:tcPr>
            <w:tcW w:w="700" w:type="dxa"/>
            <w:vAlign w:val="center"/>
          </w:tcPr>
          <w:p w14:paraId="2EED4781">
            <w:pPr>
              <w:keepNext w:val="0"/>
              <w:keepLines w:val="0"/>
              <w:pageBreakBefore w:val="0"/>
              <w:widowControl w:val="0"/>
              <w:kinsoku/>
              <w:wordWrap/>
              <w:overflowPunct/>
              <w:topLinePunct w:val="0"/>
              <w:autoSpaceDE/>
              <w:autoSpaceDN/>
              <w:bidi w:val="0"/>
              <w:adjustRightInd/>
              <w:snapToGrid/>
              <w:spacing w:line="20" w:lineRule="atLeast"/>
              <w:jc w:val="both"/>
              <w:textAlignment w:val="auto"/>
              <w:rPr>
                <w:rFonts w:hint="default" w:ascii="仿宋_GB2312" w:hAnsi="仿宋_GB2312" w:eastAsia="仿宋_GB2312" w:cs="仿宋_GB2312"/>
                <w:color w:val="000000"/>
                <w:sz w:val="24"/>
                <w:szCs w:val="24"/>
                <w:vertAlign w:val="baseline"/>
                <w:lang w:val="en-US" w:eastAsia="zh-CN"/>
              </w:rPr>
            </w:pPr>
            <w:r>
              <w:rPr>
                <w:rFonts w:hint="eastAsia" w:ascii="仿宋_GB2312" w:hAnsi="仿宋_GB2312" w:eastAsia="仿宋_GB2312" w:cs="仿宋_GB2312"/>
                <w:color w:val="000000"/>
                <w:sz w:val="24"/>
                <w:szCs w:val="24"/>
                <w:vertAlign w:val="baseline"/>
                <w:lang w:val="en-US" w:eastAsia="zh-CN"/>
              </w:rPr>
              <w:t>1人</w:t>
            </w:r>
          </w:p>
        </w:tc>
      </w:tr>
      <w:tr w14:paraId="3A753E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4" w:hRule="atLeast"/>
        </w:trPr>
        <w:tc>
          <w:tcPr>
            <w:tcW w:w="350" w:type="dxa"/>
            <w:vAlign w:val="center"/>
          </w:tcPr>
          <w:p w14:paraId="31E21FB9">
            <w:pPr>
              <w:spacing w:line="500" w:lineRule="exact"/>
              <w:jc w:val="both"/>
              <w:rPr>
                <w:rFonts w:hint="eastAsia" w:ascii="仿宋_GB2312" w:hAnsi="仿宋_GB2312" w:eastAsia="仿宋_GB2312" w:cs="仿宋_GB2312"/>
                <w:color w:val="000000"/>
                <w:sz w:val="24"/>
                <w:szCs w:val="24"/>
                <w:vertAlign w:val="baseline"/>
                <w:lang w:val="en-US" w:eastAsia="zh-CN"/>
              </w:rPr>
            </w:pPr>
            <w:r>
              <w:rPr>
                <w:rFonts w:hint="eastAsia" w:ascii="仿宋_GB2312" w:hAnsi="仿宋_GB2312" w:eastAsia="仿宋_GB2312" w:cs="仿宋_GB2312"/>
                <w:color w:val="000000"/>
                <w:sz w:val="24"/>
                <w:szCs w:val="24"/>
                <w:vertAlign w:val="baseline"/>
                <w:lang w:val="en-US" w:eastAsia="zh-CN"/>
              </w:rPr>
              <w:t>6</w:t>
            </w:r>
          </w:p>
        </w:tc>
        <w:tc>
          <w:tcPr>
            <w:tcW w:w="851" w:type="dxa"/>
            <w:vMerge w:val="continue"/>
            <w:vAlign w:val="center"/>
          </w:tcPr>
          <w:p w14:paraId="614EAB4A">
            <w:pPr>
              <w:spacing w:line="500" w:lineRule="exact"/>
              <w:jc w:val="both"/>
              <w:rPr>
                <w:rFonts w:hint="eastAsia" w:ascii="仿宋_GB2312" w:hAnsi="仿宋_GB2312" w:eastAsia="仿宋_GB2312" w:cs="仿宋_GB2312"/>
                <w:color w:val="000000"/>
                <w:sz w:val="24"/>
                <w:szCs w:val="24"/>
                <w:vertAlign w:val="baseline"/>
                <w:lang w:val="en-US" w:eastAsia="zh-CN"/>
              </w:rPr>
            </w:pPr>
          </w:p>
        </w:tc>
        <w:tc>
          <w:tcPr>
            <w:tcW w:w="1725" w:type="dxa"/>
            <w:vAlign w:val="center"/>
          </w:tcPr>
          <w:p w14:paraId="7551E54C">
            <w:pPr>
              <w:keepNext w:val="0"/>
              <w:keepLines w:val="0"/>
              <w:pageBreakBefore w:val="0"/>
              <w:widowControl w:val="0"/>
              <w:kinsoku/>
              <w:wordWrap/>
              <w:overflowPunct/>
              <w:topLinePunct w:val="0"/>
              <w:autoSpaceDE/>
              <w:autoSpaceDN/>
              <w:bidi w:val="0"/>
              <w:adjustRightInd/>
              <w:snapToGrid/>
              <w:spacing w:line="20" w:lineRule="atLeast"/>
              <w:jc w:val="both"/>
              <w:textAlignment w:val="auto"/>
              <w:rPr>
                <w:rFonts w:hint="eastAsia" w:ascii="仿宋_GB2312" w:hAnsi="仿宋_GB2312" w:eastAsia="仿宋_GB2312" w:cs="仿宋_GB2312"/>
                <w:color w:val="000000"/>
                <w:sz w:val="24"/>
                <w:szCs w:val="24"/>
                <w:vertAlign w:val="baseline"/>
              </w:rPr>
            </w:pPr>
            <w:r>
              <w:rPr>
                <w:rFonts w:hint="eastAsia" w:ascii="仿宋_GB2312" w:hAnsi="仿宋_GB2312" w:eastAsia="仿宋_GB2312" w:cs="仿宋_GB2312"/>
                <w:sz w:val="24"/>
                <w:szCs w:val="24"/>
                <w:lang w:val="en-US" w:eastAsia="zh-CN"/>
              </w:rPr>
              <w:t>科创金融板块中层岗位</w:t>
            </w:r>
          </w:p>
        </w:tc>
        <w:tc>
          <w:tcPr>
            <w:tcW w:w="2141" w:type="dxa"/>
            <w:vMerge w:val="continue"/>
            <w:vAlign w:val="center"/>
          </w:tcPr>
          <w:p w14:paraId="3CD4446A">
            <w:pPr>
              <w:keepNext w:val="0"/>
              <w:keepLines w:val="0"/>
              <w:pageBreakBefore w:val="0"/>
              <w:widowControl w:val="0"/>
              <w:kinsoku/>
              <w:wordWrap/>
              <w:overflowPunct/>
              <w:topLinePunct w:val="0"/>
              <w:autoSpaceDE/>
              <w:autoSpaceDN/>
              <w:bidi w:val="0"/>
              <w:adjustRightInd/>
              <w:snapToGrid/>
              <w:spacing w:line="20" w:lineRule="atLeast"/>
              <w:jc w:val="both"/>
              <w:textAlignment w:val="auto"/>
              <w:rPr>
                <w:rFonts w:hint="eastAsia" w:ascii="仿宋_GB2312" w:hAnsi="仿宋_GB2312" w:eastAsia="仿宋_GB2312" w:cs="仿宋_GB2312"/>
                <w:color w:val="000000"/>
                <w:sz w:val="24"/>
                <w:szCs w:val="24"/>
                <w:vertAlign w:val="baseline"/>
              </w:rPr>
            </w:pPr>
          </w:p>
        </w:tc>
        <w:tc>
          <w:tcPr>
            <w:tcW w:w="3516" w:type="dxa"/>
            <w:vAlign w:val="center"/>
          </w:tcPr>
          <w:p w14:paraId="28C34F85">
            <w:pPr>
              <w:keepNext w:val="0"/>
              <w:keepLines w:val="0"/>
              <w:pageBreakBefore w:val="0"/>
              <w:widowControl w:val="0"/>
              <w:kinsoku/>
              <w:wordWrap/>
              <w:overflowPunct/>
              <w:topLinePunct w:val="0"/>
              <w:autoSpaceDE/>
              <w:autoSpaceDN/>
              <w:bidi w:val="0"/>
              <w:adjustRightInd/>
              <w:snapToGrid/>
              <w:spacing w:line="20" w:lineRule="atLeast"/>
              <w:ind w:firstLine="480" w:firstLineChars="200"/>
              <w:jc w:val="left"/>
              <w:textAlignment w:val="auto"/>
              <w:rPr>
                <w:rFonts w:hint="eastAsia" w:ascii="仿宋_GB2312" w:hAnsi="仿宋_GB2312" w:eastAsia="仿宋_GB2312" w:cs="仿宋_GB2312"/>
                <w:color w:val="000000"/>
                <w:sz w:val="24"/>
                <w:szCs w:val="24"/>
                <w:vertAlign w:val="baseline"/>
              </w:rPr>
            </w:pPr>
            <w:r>
              <w:rPr>
                <w:rFonts w:hint="eastAsia" w:ascii="仿宋_GB2312" w:hAnsi="仿宋_GB2312" w:eastAsia="仿宋_GB2312" w:cs="仿宋_GB2312"/>
                <w:color w:val="000000"/>
                <w:sz w:val="24"/>
                <w:szCs w:val="24"/>
                <w:vertAlign w:val="baseline"/>
                <w:lang w:val="en-US" w:eastAsia="zh-CN"/>
              </w:rPr>
              <w:t>熟悉商业银行公司业务产品及流程，了解区域经济环境、产业状况、产业政策以及市场客户情况，具有较强的沟通协调、业务拓展及管理经验，有较为丰富的市场客户资源。对产业链、资本链、人才链关键要素认知深刻，具备创新意识，熟悉资本市场，历经创新型产品设计及批量化推广经验。</w:t>
            </w:r>
          </w:p>
        </w:tc>
        <w:tc>
          <w:tcPr>
            <w:tcW w:w="700" w:type="dxa"/>
            <w:vAlign w:val="center"/>
          </w:tcPr>
          <w:p w14:paraId="1537FF88">
            <w:pPr>
              <w:keepNext w:val="0"/>
              <w:keepLines w:val="0"/>
              <w:pageBreakBefore w:val="0"/>
              <w:widowControl w:val="0"/>
              <w:kinsoku/>
              <w:wordWrap/>
              <w:overflowPunct/>
              <w:topLinePunct w:val="0"/>
              <w:autoSpaceDE/>
              <w:autoSpaceDN/>
              <w:bidi w:val="0"/>
              <w:adjustRightInd/>
              <w:snapToGrid/>
              <w:spacing w:line="20" w:lineRule="atLeast"/>
              <w:jc w:val="both"/>
              <w:textAlignment w:val="auto"/>
              <w:rPr>
                <w:rFonts w:hint="default" w:ascii="仿宋_GB2312" w:hAnsi="仿宋_GB2312" w:eastAsia="仿宋_GB2312" w:cs="仿宋_GB2312"/>
                <w:color w:val="000000"/>
                <w:sz w:val="24"/>
                <w:szCs w:val="24"/>
                <w:vertAlign w:val="baseline"/>
                <w:lang w:val="en-US" w:eastAsia="zh-CN"/>
              </w:rPr>
            </w:pPr>
            <w:r>
              <w:rPr>
                <w:rFonts w:hint="eastAsia" w:ascii="仿宋_GB2312" w:hAnsi="仿宋_GB2312" w:eastAsia="仿宋_GB2312" w:cs="仿宋_GB2312"/>
                <w:color w:val="000000"/>
                <w:sz w:val="24"/>
                <w:szCs w:val="24"/>
                <w:vertAlign w:val="baseline"/>
                <w:lang w:val="en-US" w:eastAsia="zh-CN"/>
              </w:rPr>
              <w:t>1人</w:t>
            </w:r>
          </w:p>
        </w:tc>
      </w:tr>
      <w:tr w14:paraId="489E11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84" w:hRule="atLeast"/>
        </w:trPr>
        <w:tc>
          <w:tcPr>
            <w:tcW w:w="350" w:type="dxa"/>
            <w:vAlign w:val="center"/>
          </w:tcPr>
          <w:p w14:paraId="6A34D696">
            <w:pPr>
              <w:spacing w:line="500" w:lineRule="exact"/>
              <w:jc w:val="both"/>
              <w:rPr>
                <w:rFonts w:hint="eastAsia" w:ascii="仿宋_GB2312" w:hAnsi="仿宋_GB2312" w:eastAsia="仿宋_GB2312" w:cs="仿宋_GB2312"/>
                <w:color w:val="000000"/>
                <w:sz w:val="24"/>
                <w:szCs w:val="24"/>
                <w:vertAlign w:val="baseline"/>
                <w:lang w:val="en-US" w:eastAsia="zh-CN"/>
              </w:rPr>
            </w:pPr>
            <w:r>
              <w:rPr>
                <w:rFonts w:hint="eastAsia" w:ascii="仿宋_GB2312" w:hAnsi="仿宋_GB2312" w:eastAsia="仿宋_GB2312" w:cs="仿宋_GB2312"/>
                <w:color w:val="000000"/>
                <w:sz w:val="24"/>
                <w:szCs w:val="24"/>
                <w:vertAlign w:val="baseline"/>
                <w:lang w:val="en-US" w:eastAsia="zh-CN"/>
              </w:rPr>
              <w:t>7</w:t>
            </w:r>
          </w:p>
        </w:tc>
        <w:tc>
          <w:tcPr>
            <w:tcW w:w="851" w:type="dxa"/>
            <w:vMerge w:val="continue"/>
            <w:vAlign w:val="center"/>
          </w:tcPr>
          <w:p w14:paraId="769BFDBD">
            <w:pPr>
              <w:spacing w:line="500" w:lineRule="exact"/>
              <w:jc w:val="both"/>
              <w:rPr>
                <w:rFonts w:hint="eastAsia" w:ascii="仿宋_GB2312" w:hAnsi="仿宋_GB2312" w:eastAsia="仿宋_GB2312" w:cs="仿宋_GB2312"/>
                <w:color w:val="000000"/>
                <w:sz w:val="24"/>
                <w:szCs w:val="24"/>
                <w:vertAlign w:val="baseline"/>
                <w:lang w:val="en-US" w:eastAsia="zh-CN"/>
              </w:rPr>
            </w:pPr>
          </w:p>
        </w:tc>
        <w:tc>
          <w:tcPr>
            <w:tcW w:w="1725" w:type="dxa"/>
            <w:vAlign w:val="center"/>
          </w:tcPr>
          <w:p w14:paraId="25A4188C">
            <w:pPr>
              <w:keepNext w:val="0"/>
              <w:keepLines w:val="0"/>
              <w:pageBreakBefore w:val="0"/>
              <w:widowControl w:val="0"/>
              <w:kinsoku/>
              <w:wordWrap/>
              <w:overflowPunct/>
              <w:topLinePunct w:val="0"/>
              <w:autoSpaceDE/>
              <w:autoSpaceDN/>
              <w:bidi w:val="0"/>
              <w:adjustRightInd/>
              <w:snapToGrid/>
              <w:spacing w:line="20" w:lineRule="atLeast"/>
              <w:jc w:val="both"/>
              <w:textAlignment w:val="auto"/>
              <w:rPr>
                <w:rFonts w:hint="eastAsia" w:ascii="仿宋_GB2312" w:hAnsi="仿宋_GB2312" w:eastAsia="仿宋_GB2312" w:cs="仿宋_GB2312"/>
                <w:color w:val="000000"/>
                <w:sz w:val="24"/>
                <w:szCs w:val="24"/>
                <w:vertAlign w:val="baseline"/>
              </w:rPr>
            </w:pPr>
            <w:r>
              <w:rPr>
                <w:rFonts w:hint="eastAsia" w:ascii="仿宋_GB2312" w:hAnsi="仿宋_GB2312" w:eastAsia="仿宋_GB2312" w:cs="仿宋_GB2312"/>
                <w:sz w:val="24"/>
                <w:szCs w:val="24"/>
                <w:lang w:val="en-US" w:eastAsia="zh-CN"/>
              </w:rPr>
              <w:t>科创金融风控中层岗位</w:t>
            </w:r>
          </w:p>
        </w:tc>
        <w:tc>
          <w:tcPr>
            <w:tcW w:w="2141" w:type="dxa"/>
            <w:vMerge w:val="continue"/>
            <w:vAlign w:val="center"/>
          </w:tcPr>
          <w:p w14:paraId="7CE5178E">
            <w:pPr>
              <w:keepNext w:val="0"/>
              <w:keepLines w:val="0"/>
              <w:pageBreakBefore w:val="0"/>
              <w:widowControl w:val="0"/>
              <w:kinsoku/>
              <w:wordWrap/>
              <w:overflowPunct/>
              <w:topLinePunct w:val="0"/>
              <w:autoSpaceDE/>
              <w:autoSpaceDN/>
              <w:bidi w:val="0"/>
              <w:adjustRightInd/>
              <w:snapToGrid/>
              <w:spacing w:line="20" w:lineRule="atLeast"/>
              <w:jc w:val="both"/>
              <w:textAlignment w:val="auto"/>
              <w:rPr>
                <w:rFonts w:hint="eastAsia" w:ascii="仿宋_GB2312" w:hAnsi="仿宋_GB2312" w:eastAsia="仿宋_GB2312" w:cs="仿宋_GB2312"/>
                <w:color w:val="000000"/>
                <w:sz w:val="24"/>
                <w:szCs w:val="24"/>
                <w:vertAlign w:val="baseline"/>
              </w:rPr>
            </w:pPr>
          </w:p>
        </w:tc>
        <w:tc>
          <w:tcPr>
            <w:tcW w:w="3516" w:type="dxa"/>
            <w:vAlign w:val="center"/>
          </w:tcPr>
          <w:p w14:paraId="42493050">
            <w:pPr>
              <w:keepNext w:val="0"/>
              <w:keepLines w:val="0"/>
              <w:pageBreakBefore w:val="0"/>
              <w:widowControl w:val="0"/>
              <w:kinsoku/>
              <w:wordWrap/>
              <w:overflowPunct/>
              <w:topLinePunct w:val="0"/>
              <w:autoSpaceDE/>
              <w:autoSpaceDN/>
              <w:bidi w:val="0"/>
              <w:adjustRightInd/>
              <w:snapToGrid/>
              <w:spacing w:line="20" w:lineRule="atLeast"/>
              <w:ind w:firstLine="480" w:firstLineChars="200"/>
              <w:jc w:val="left"/>
              <w:textAlignment w:val="auto"/>
              <w:rPr>
                <w:rFonts w:hint="eastAsia" w:ascii="仿宋_GB2312" w:hAnsi="仿宋_GB2312" w:eastAsia="仿宋_GB2312" w:cs="仿宋_GB2312"/>
                <w:color w:val="000000"/>
                <w:sz w:val="24"/>
                <w:szCs w:val="24"/>
                <w:vertAlign w:val="baseline"/>
              </w:rPr>
            </w:pPr>
            <w:r>
              <w:rPr>
                <w:rFonts w:hint="eastAsia" w:ascii="仿宋_GB2312" w:hAnsi="仿宋_GB2312" w:eastAsia="仿宋_GB2312" w:cs="仿宋_GB2312"/>
                <w:color w:val="000000"/>
                <w:sz w:val="24"/>
                <w:szCs w:val="24"/>
                <w:vertAlign w:val="baseline"/>
                <w:lang w:val="en-US" w:eastAsia="zh-CN"/>
              </w:rPr>
              <w:t>熟悉商业银行风险管理政策、制度、流程，熟练掌握风险建模和数据分析理论知识及应用工具。对科技型企业科技属性认定有一定认知，对知识产权、股权作价及估值体系熟悉。能够根据初创期、成长期、成熟期等不同发展阶段科技型企业的发展特点，以及科技人才、科研能力、研发投入、成果价值等创新要素，分层分类设立科技型企业信用评价模型。</w:t>
            </w:r>
          </w:p>
        </w:tc>
        <w:tc>
          <w:tcPr>
            <w:tcW w:w="700" w:type="dxa"/>
            <w:vAlign w:val="center"/>
          </w:tcPr>
          <w:p w14:paraId="777A6B1F">
            <w:pPr>
              <w:keepNext w:val="0"/>
              <w:keepLines w:val="0"/>
              <w:pageBreakBefore w:val="0"/>
              <w:widowControl w:val="0"/>
              <w:kinsoku/>
              <w:wordWrap/>
              <w:overflowPunct/>
              <w:topLinePunct w:val="0"/>
              <w:autoSpaceDE/>
              <w:autoSpaceDN/>
              <w:bidi w:val="0"/>
              <w:adjustRightInd/>
              <w:snapToGrid/>
              <w:spacing w:line="20" w:lineRule="atLeast"/>
              <w:jc w:val="both"/>
              <w:textAlignment w:val="auto"/>
              <w:rPr>
                <w:rFonts w:hint="default" w:ascii="仿宋_GB2312" w:hAnsi="仿宋_GB2312" w:eastAsia="仿宋_GB2312" w:cs="仿宋_GB2312"/>
                <w:color w:val="000000"/>
                <w:sz w:val="24"/>
                <w:szCs w:val="24"/>
                <w:vertAlign w:val="baseline"/>
                <w:lang w:val="en-US" w:eastAsia="zh-CN"/>
              </w:rPr>
            </w:pPr>
            <w:r>
              <w:rPr>
                <w:rFonts w:hint="eastAsia" w:ascii="仿宋_GB2312" w:hAnsi="仿宋_GB2312" w:eastAsia="仿宋_GB2312" w:cs="仿宋_GB2312"/>
                <w:color w:val="000000"/>
                <w:sz w:val="24"/>
                <w:szCs w:val="24"/>
                <w:vertAlign w:val="baseline"/>
                <w:lang w:val="en-US" w:eastAsia="zh-CN"/>
              </w:rPr>
              <w:t>1人</w:t>
            </w:r>
          </w:p>
        </w:tc>
      </w:tr>
      <w:tr w14:paraId="054E40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46" w:hRule="atLeast"/>
        </w:trPr>
        <w:tc>
          <w:tcPr>
            <w:tcW w:w="350" w:type="dxa"/>
            <w:vAlign w:val="center"/>
          </w:tcPr>
          <w:p w14:paraId="1316597C">
            <w:pPr>
              <w:spacing w:line="500" w:lineRule="exact"/>
              <w:jc w:val="both"/>
              <w:rPr>
                <w:rFonts w:hint="eastAsia" w:ascii="仿宋_GB2312" w:hAnsi="仿宋_GB2312" w:eastAsia="仿宋_GB2312" w:cs="仿宋_GB2312"/>
                <w:color w:val="000000"/>
                <w:sz w:val="24"/>
                <w:szCs w:val="24"/>
                <w:vertAlign w:val="baseline"/>
                <w:lang w:val="en-US" w:eastAsia="zh-CN"/>
              </w:rPr>
            </w:pPr>
            <w:r>
              <w:rPr>
                <w:rFonts w:hint="eastAsia" w:ascii="仿宋_GB2312" w:hAnsi="仿宋_GB2312" w:eastAsia="仿宋_GB2312" w:cs="仿宋_GB2312"/>
                <w:color w:val="000000"/>
                <w:sz w:val="24"/>
                <w:szCs w:val="24"/>
                <w:vertAlign w:val="baseline"/>
                <w:lang w:val="en-US" w:eastAsia="zh-CN"/>
              </w:rPr>
              <w:t>8</w:t>
            </w:r>
          </w:p>
        </w:tc>
        <w:tc>
          <w:tcPr>
            <w:tcW w:w="851" w:type="dxa"/>
            <w:vAlign w:val="center"/>
          </w:tcPr>
          <w:p w14:paraId="504D482B">
            <w:pPr>
              <w:spacing w:line="500" w:lineRule="exact"/>
              <w:jc w:val="center"/>
              <w:rPr>
                <w:rFonts w:hint="default" w:ascii="仿宋_GB2312" w:hAnsi="仿宋_GB2312" w:eastAsia="仿宋_GB2312" w:cs="仿宋_GB2312"/>
                <w:color w:val="000000"/>
                <w:sz w:val="24"/>
                <w:szCs w:val="24"/>
                <w:vertAlign w:val="baseline"/>
                <w:lang w:val="en-US" w:eastAsia="zh-CN"/>
              </w:rPr>
            </w:pPr>
            <w:r>
              <w:rPr>
                <w:rFonts w:hint="eastAsia" w:ascii="仿宋_GB2312" w:hAnsi="仿宋_GB2312" w:eastAsia="仿宋_GB2312" w:cs="仿宋_GB2312"/>
                <w:sz w:val="24"/>
                <w:szCs w:val="24"/>
                <w:lang w:val="en-US" w:eastAsia="zh-CN"/>
              </w:rPr>
              <w:t>管理型支行岗位</w:t>
            </w:r>
          </w:p>
        </w:tc>
        <w:tc>
          <w:tcPr>
            <w:tcW w:w="1725" w:type="dxa"/>
            <w:vAlign w:val="center"/>
          </w:tcPr>
          <w:p w14:paraId="42032CDA">
            <w:pPr>
              <w:keepNext w:val="0"/>
              <w:keepLines w:val="0"/>
              <w:pageBreakBefore w:val="0"/>
              <w:widowControl w:val="0"/>
              <w:kinsoku/>
              <w:wordWrap/>
              <w:overflowPunct/>
              <w:topLinePunct w:val="0"/>
              <w:autoSpaceDE/>
              <w:autoSpaceDN/>
              <w:bidi w:val="0"/>
              <w:adjustRightInd/>
              <w:snapToGrid/>
              <w:spacing w:line="20" w:lineRule="atLeast"/>
              <w:jc w:val="both"/>
              <w:textAlignment w:val="auto"/>
              <w:rPr>
                <w:rFonts w:hint="default" w:ascii="仿宋_GB2312" w:hAnsi="仿宋_GB2312" w:eastAsia="仿宋_GB2312" w:cs="仿宋_GB2312"/>
                <w:color w:val="000000"/>
                <w:sz w:val="24"/>
                <w:szCs w:val="24"/>
                <w:vertAlign w:val="baseline"/>
                <w:lang w:val="en-US"/>
              </w:rPr>
            </w:pPr>
            <w:r>
              <w:rPr>
                <w:rFonts w:hint="eastAsia" w:ascii="仿宋_GB2312" w:hAnsi="仿宋_GB2312" w:eastAsia="仿宋_GB2312" w:cs="仿宋_GB2312"/>
                <w:sz w:val="24"/>
                <w:szCs w:val="24"/>
                <w:lang w:val="en-US" w:eastAsia="zh-CN"/>
              </w:rPr>
              <w:t>管理型支行负责人岗位</w:t>
            </w:r>
          </w:p>
        </w:tc>
        <w:tc>
          <w:tcPr>
            <w:tcW w:w="2141" w:type="dxa"/>
            <w:vMerge w:val="continue"/>
            <w:vAlign w:val="center"/>
          </w:tcPr>
          <w:p w14:paraId="2443A377">
            <w:pPr>
              <w:keepNext w:val="0"/>
              <w:keepLines w:val="0"/>
              <w:pageBreakBefore w:val="0"/>
              <w:widowControl w:val="0"/>
              <w:kinsoku/>
              <w:wordWrap/>
              <w:overflowPunct/>
              <w:topLinePunct w:val="0"/>
              <w:autoSpaceDE/>
              <w:autoSpaceDN/>
              <w:bidi w:val="0"/>
              <w:adjustRightInd/>
              <w:snapToGrid/>
              <w:spacing w:line="20" w:lineRule="atLeast"/>
              <w:jc w:val="both"/>
              <w:textAlignment w:val="auto"/>
              <w:rPr>
                <w:rFonts w:hint="eastAsia" w:ascii="仿宋_GB2312" w:hAnsi="仿宋_GB2312" w:eastAsia="仿宋_GB2312" w:cs="仿宋_GB2312"/>
                <w:color w:val="000000"/>
                <w:sz w:val="24"/>
                <w:szCs w:val="24"/>
                <w:vertAlign w:val="baseline"/>
              </w:rPr>
            </w:pPr>
          </w:p>
        </w:tc>
        <w:tc>
          <w:tcPr>
            <w:tcW w:w="3516" w:type="dxa"/>
            <w:vAlign w:val="center"/>
          </w:tcPr>
          <w:p w14:paraId="34395BAB">
            <w:pPr>
              <w:keepNext w:val="0"/>
              <w:keepLines w:val="0"/>
              <w:pageBreakBefore w:val="0"/>
              <w:widowControl w:val="0"/>
              <w:kinsoku/>
              <w:wordWrap/>
              <w:overflowPunct/>
              <w:topLinePunct w:val="0"/>
              <w:autoSpaceDE/>
              <w:autoSpaceDN/>
              <w:bidi w:val="0"/>
              <w:adjustRightInd/>
              <w:snapToGrid/>
              <w:spacing w:line="20" w:lineRule="atLeast"/>
              <w:ind w:firstLine="480" w:firstLineChars="200"/>
              <w:jc w:val="left"/>
              <w:textAlignment w:val="auto"/>
              <w:rPr>
                <w:rFonts w:hint="eastAsia" w:ascii="仿宋_GB2312" w:hAnsi="仿宋_GB2312" w:eastAsia="仿宋_GB2312" w:cs="仿宋_GB2312"/>
                <w:color w:val="000000"/>
                <w:sz w:val="24"/>
                <w:szCs w:val="24"/>
                <w:vertAlign w:val="baseline"/>
              </w:rPr>
            </w:pPr>
            <w:r>
              <w:rPr>
                <w:rFonts w:hint="eastAsia" w:ascii="仿宋_GB2312" w:hAnsi="仿宋_GB2312" w:eastAsia="仿宋_GB2312" w:cs="仿宋_GB2312"/>
                <w:color w:val="000000"/>
                <w:sz w:val="24"/>
                <w:szCs w:val="24"/>
                <w:vertAlign w:val="baseline"/>
                <w:lang w:val="en-US" w:eastAsia="zh-CN"/>
              </w:rPr>
              <w:t>熟悉商业银行各项业务及产品，精通信贷业务和信贷政策法规，具有良好的业务拓展能力和客户服务意识，具备较强的经营管理能力、团队建设能力和风险防范意识，有较为丰富的商业银行分支机构管理经验和市场客户资源。过往经历主要服务科技型企业，历经科技型企业全生命周期服务，有创新精神，对企业发债、股权激励及并购、募投项目推进等业务有涉及者，有科创金融工作经历者优先。链接资源能力强，特别是产业基金、高校、知名 pe/vc、孵化器、券商直投部门、担保公司。</w:t>
            </w:r>
          </w:p>
        </w:tc>
        <w:tc>
          <w:tcPr>
            <w:tcW w:w="700" w:type="dxa"/>
            <w:vAlign w:val="center"/>
          </w:tcPr>
          <w:p w14:paraId="74A54C51">
            <w:pPr>
              <w:keepNext w:val="0"/>
              <w:keepLines w:val="0"/>
              <w:pageBreakBefore w:val="0"/>
              <w:widowControl w:val="0"/>
              <w:kinsoku/>
              <w:wordWrap/>
              <w:overflowPunct/>
              <w:topLinePunct w:val="0"/>
              <w:autoSpaceDE/>
              <w:autoSpaceDN/>
              <w:bidi w:val="0"/>
              <w:adjustRightInd/>
              <w:snapToGrid/>
              <w:spacing w:line="20" w:lineRule="atLeast"/>
              <w:jc w:val="both"/>
              <w:textAlignment w:val="auto"/>
              <w:rPr>
                <w:rFonts w:hint="default" w:ascii="仿宋_GB2312" w:hAnsi="仿宋_GB2312" w:eastAsia="仿宋_GB2312" w:cs="仿宋_GB2312"/>
                <w:color w:val="000000"/>
                <w:sz w:val="24"/>
                <w:szCs w:val="24"/>
                <w:vertAlign w:val="baseline"/>
                <w:lang w:val="en-US" w:eastAsia="zh-CN"/>
              </w:rPr>
            </w:pPr>
            <w:r>
              <w:rPr>
                <w:rFonts w:hint="eastAsia" w:ascii="仿宋_GB2312" w:hAnsi="仿宋_GB2312" w:eastAsia="仿宋_GB2312" w:cs="仿宋_GB2312"/>
                <w:color w:val="000000"/>
                <w:sz w:val="24"/>
                <w:szCs w:val="24"/>
                <w:vertAlign w:val="baseline"/>
                <w:lang w:val="en-US" w:eastAsia="zh-CN"/>
              </w:rPr>
              <w:t>3-5人</w:t>
            </w:r>
          </w:p>
        </w:tc>
      </w:tr>
    </w:tbl>
    <w:p w14:paraId="5D60259B">
      <w:pPr>
        <w:spacing w:line="500" w:lineRule="exact"/>
        <w:rPr>
          <w:rFonts w:hint="default" w:ascii="Times New Roman Regular" w:hAnsi="Times New Roman Regular" w:cs="Times New Roman Regular"/>
          <w:color w:val="000000"/>
          <w:sz w:val="32"/>
          <w:szCs w:val="32"/>
        </w:rPr>
      </w:pPr>
    </w:p>
    <w:p w14:paraId="124A77C4">
      <w:pPr>
        <w:pStyle w:val="2"/>
        <w:ind w:left="0" w:leftChars="0" w:firstLine="0" w:firstLineChars="0"/>
        <w:rPr>
          <w:rFonts w:hint="default" w:ascii="Times New Roman Regular" w:hAnsi="Times New Roman Regular" w:cs="Times New Roman Regular"/>
          <w:color w:val="000000"/>
          <w:sz w:val="32"/>
          <w:szCs w:val="32"/>
        </w:rPr>
      </w:pPr>
    </w:p>
    <w:p w14:paraId="0C57C4D7">
      <w:pPr>
        <w:spacing w:line="500" w:lineRule="exact"/>
        <w:rPr>
          <w:rFonts w:hint="default" w:ascii="Times New Roman Regular" w:hAnsi="Times New Roman Regular" w:cs="Times New Roman Regular"/>
          <w:color w:val="000000"/>
          <w:sz w:val="32"/>
          <w:szCs w:val="32"/>
        </w:rPr>
      </w:pPr>
    </w:p>
    <w:p w14:paraId="05169F7A">
      <w:pPr>
        <w:spacing w:line="500" w:lineRule="exact"/>
        <w:rPr>
          <w:rFonts w:hint="default" w:ascii="Times New Roman Regular" w:hAnsi="Times New Roman Regular" w:cs="Times New Roman Regular"/>
          <w:color w:val="000000"/>
          <w:sz w:val="32"/>
          <w:szCs w:val="32"/>
        </w:rPr>
      </w:pPr>
    </w:p>
    <w:p w14:paraId="4C3F3108">
      <w:pPr>
        <w:spacing w:line="500" w:lineRule="exact"/>
        <w:rPr>
          <w:rFonts w:hint="default" w:ascii="Times New Roman Regular" w:hAnsi="Times New Roman Regular" w:cs="Times New Roman Regular"/>
          <w:color w:val="000000"/>
          <w:sz w:val="32"/>
          <w:szCs w:val="32"/>
        </w:rPr>
      </w:pPr>
    </w:p>
    <w:p w14:paraId="2C2572D2">
      <w:pPr>
        <w:spacing w:line="500" w:lineRule="exact"/>
        <w:rPr>
          <w:rFonts w:hint="default" w:ascii="Times New Roman Regular" w:hAnsi="Times New Roman Regular" w:cs="Times New Roman Regular"/>
          <w:color w:val="000000"/>
          <w:sz w:val="32"/>
          <w:szCs w:val="32"/>
        </w:rPr>
      </w:pPr>
    </w:p>
    <w:p w14:paraId="53FA3D08"/>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Times New Roman Regular">
    <w:altName w:val="Times New Roman"/>
    <w:panose1 w:val="02020503050405090304"/>
    <w:charset w:val="00"/>
    <w:family w:val="auto"/>
    <w:pitch w:val="default"/>
    <w:sig w:usb0="00000000" w:usb1="00000000" w:usb2="00000001" w:usb3="00000000" w:csb0="400001BF" w:csb1="DFF70000"/>
  </w:font>
  <w:font w:name="仿宋_GB2312">
    <w:panose1 w:val="02010609030101010101"/>
    <w:charset w:val="86"/>
    <w:family w:val="modern"/>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6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mNhNTllMTUzYjA2YWRkMWFhZDI2ZjkxYzk3YjQ5NzMifQ=="/>
  </w:docVars>
  <w:rsids>
    <w:rsidRoot w:val="4E47279F"/>
    <w:rsid w:val="4E47279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99"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Indent"/>
    <w:basedOn w:val="1"/>
    <w:unhideWhenUsed/>
    <w:qFormat/>
    <w:uiPriority w:val="99"/>
    <w:pPr>
      <w:ind w:firstLine="420" w:firstLineChars="200"/>
    </w:pPr>
  </w:style>
  <w:style w:type="table" w:styleId="4">
    <w:name w:val="Table Grid"/>
    <w:basedOn w:val="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0</Words>
  <Characters>0</Characters>
  <Lines>0</Lines>
  <Paragraphs>0</Paragraphs>
  <TotalTime>0</TotalTime>
  <ScaleCrop>false</ScaleCrop>
  <LinksUpToDate>false</LinksUpToDate>
  <CharactersWithSpaces>0</CharactersWithSpaces>
  <Application>WPS Office_12.1.0.18345_F1E327BC-269C-435d-A152-05C5408002CA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2024-11-18T12:13:00Z</dcterms:created>
  <dc:creator>WPS_1580635685</dc:creator>
  <cp:lastModifiedBy>WPS_1580635685</cp:lastModifiedBy>
  <dcterms:modified xsi:type="dcterms:W3CDTF">2024-11-18T12:13:51Z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2052-12.1.0.18345</vt:lpwstr>
  </property>
  <property fmtid="{D5CDD505-2E9C-101B-9397-08002B2CF9AE}" pid="3" name="ICV">
    <vt:lpwstr>3AA7CEAA423C4EAE8C20771B443E9ED4_11</vt:lpwstr>
  </property>
</Properties>
</file>